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CE8D3" w14:textId="77777777" w:rsidR="004F3332" w:rsidRPr="00E5019D" w:rsidRDefault="004F3332" w:rsidP="004F3332">
      <w:pPr>
        <w:rPr>
          <w:rFonts w:asciiTheme="minorHAnsi" w:hAnsiTheme="minorHAnsi" w:cstheme="minorHAnsi"/>
          <w:b/>
          <w:sz w:val="28"/>
          <w:szCs w:val="28"/>
        </w:rPr>
      </w:pPr>
      <w:r w:rsidRPr="00E5019D">
        <w:rPr>
          <w:rFonts w:asciiTheme="minorHAnsi" w:hAnsiTheme="minorHAnsi" w:cstheme="minorHAnsi"/>
          <w:b/>
          <w:sz w:val="28"/>
          <w:szCs w:val="28"/>
        </w:rPr>
        <w:t xml:space="preserve">CAES Financial Standards </w:t>
      </w:r>
    </w:p>
    <w:p w14:paraId="672A6659" w14:textId="77777777" w:rsidR="004F3332" w:rsidRPr="00E5019D" w:rsidRDefault="004F3332" w:rsidP="004F3332">
      <w:pPr>
        <w:rPr>
          <w:rFonts w:asciiTheme="minorHAnsi" w:hAnsiTheme="minorHAnsi" w:cstheme="minorHAnsi"/>
          <w:b/>
          <w:sz w:val="22"/>
          <w:szCs w:val="22"/>
        </w:rPr>
      </w:pPr>
    </w:p>
    <w:p w14:paraId="4A479C61" w14:textId="77777777" w:rsidR="004F3332" w:rsidRPr="00E5019D" w:rsidRDefault="004F3332" w:rsidP="00B926D5">
      <w:pPr>
        <w:pStyle w:val="ListParagraph"/>
        <w:numPr>
          <w:ilvl w:val="0"/>
          <w:numId w:val="1"/>
        </w:numPr>
        <w:spacing w:line="240" w:lineRule="auto"/>
        <w:ind w:left="360"/>
        <w:rPr>
          <w:rFonts w:asciiTheme="minorHAnsi" w:hAnsiTheme="minorHAnsi" w:cstheme="minorHAnsi"/>
          <w:b/>
          <w:sz w:val="22"/>
          <w:szCs w:val="22"/>
        </w:rPr>
      </w:pPr>
      <w:r w:rsidRPr="00E5019D">
        <w:rPr>
          <w:rFonts w:asciiTheme="minorHAnsi" w:hAnsiTheme="minorHAnsi" w:cstheme="minorHAnsi"/>
          <w:b/>
          <w:sz w:val="22"/>
          <w:szCs w:val="22"/>
        </w:rPr>
        <w:t>Approvals</w:t>
      </w:r>
    </w:p>
    <w:p w14:paraId="2DEEF947" w14:textId="77777777" w:rsidR="004F3332" w:rsidRPr="00E5019D" w:rsidRDefault="004F3332" w:rsidP="00B926D5">
      <w:pPr>
        <w:pStyle w:val="ListParagraph"/>
        <w:numPr>
          <w:ilvl w:val="1"/>
          <w:numId w:val="1"/>
        </w:numPr>
        <w:spacing w:line="240" w:lineRule="auto"/>
        <w:ind w:left="1080"/>
        <w:rPr>
          <w:rFonts w:asciiTheme="minorHAnsi" w:hAnsiTheme="minorHAnsi" w:cstheme="minorHAnsi"/>
          <w:sz w:val="20"/>
          <w:szCs w:val="20"/>
        </w:rPr>
      </w:pPr>
      <w:r w:rsidRPr="00E5019D">
        <w:rPr>
          <w:rFonts w:asciiTheme="minorHAnsi" w:hAnsiTheme="minorHAnsi" w:cstheme="minorHAnsi"/>
          <w:sz w:val="20"/>
          <w:szCs w:val="20"/>
        </w:rPr>
        <w:t xml:space="preserve">Approval queues should be checked daily </w:t>
      </w:r>
    </w:p>
    <w:p w14:paraId="5DB211B2" w14:textId="1091C2BD" w:rsidR="004F3332" w:rsidRPr="00E5019D" w:rsidRDefault="004F3332" w:rsidP="4213DCE5">
      <w:pPr>
        <w:pStyle w:val="ListParagraph"/>
        <w:numPr>
          <w:ilvl w:val="1"/>
          <w:numId w:val="1"/>
        </w:numPr>
        <w:spacing w:line="240" w:lineRule="auto"/>
        <w:ind w:left="1080"/>
        <w:rPr>
          <w:rFonts w:asciiTheme="minorHAnsi" w:hAnsiTheme="minorHAnsi"/>
          <w:sz w:val="20"/>
          <w:szCs w:val="20"/>
        </w:rPr>
      </w:pPr>
      <w:r w:rsidRPr="4213DCE5">
        <w:rPr>
          <w:rFonts w:asciiTheme="minorHAnsi" w:hAnsiTheme="minorHAnsi"/>
          <w:sz w:val="20"/>
          <w:szCs w:val="20"/>
        </w:rPr>
        <w:t>Approvers should setup/assign a temporary alternate approver before leaving for extended periods of time</w:t>
      </w:r>
      <w:r w:rsidR="6BA15349" w:rsidRPr="4213DCE5">
        <w:rPr>
          <w:rFonts w:asciiTheme="minorHAnsi" w:hAnsiTheme="minorHAnsi"/>
          <w:sz w:val="20"/>
          <w:szCs w:val="20"/>
        </w:rPr>
        <w:t xml:space="preserve"> </w:t>
      </w:r>
      <w:r w:rsidR="6BA15349" w:rsidRPr="003A352D">
        <w:rPr>
          <w:rFonts w:asciiTheme="minorHAnsi" w:hAnsiTheme="minorHAnsi"/>
          <w:sz w:val="20"/>
          <w:szCs w:val="20"/>
        </w:rPr>
        <w:t>(2 days or more)</w:t>
      </w:r>
      <w:r w:rsidRPr="4213DCE5">
        <w:rPr>
          <w:rFonts w:asciiTheme="minorHAnsi" w:hAnsiTheme="minorHAnsi"/>
          <w:sz w:val="20"/>
          <w:szCs w:val="20"/>
        </w:rPr>
        <w:t>; CBO or Supervisor can request alternate approver for unexpected leave</w:t>
      </w:r>
    </w:p>
    <w:p w14:paraId="3690BB2F" w14:textId="77777777" w:rsidR="004F3332" w:rsidRPr="00E5019D" w:rsidRDefault="004F3332" w:rsidP="00B926D5">
      <w:pPr>
        <w:pStyle w:val="ListParagraph"/>
        <w:numPr>
          <w:ilvl w:val="0"/>
          <w:numId w:val="1"/>
        </w:numPr>
        <w:spacing w:line="240" w:lineRule="auto"/>
        <w:ind w:left="360"/>
        <w:rPr>
          <w:rFonts w:asciiTheme="minorHAnsi" w:hAnsiTheme="minorHAnsi" w:cstheme="minorHAnsi"/>
          <w:b/>
          <w:sz w:val="22"/>
          <w:szCs w:val="22"/>
        </w:rPr>
      </w:pPr>
      <w:r w:rsidRPr="00E5019D">
        <w:rPr>
          <w:rFonts w:asciiTheme="minorHAnsi" w:hAnsiTheme="minorHAnsi" w:cstheme="minorHAnsi"/>
          <w:b/>
          <w:sz w:val="22"/>
          <w:szCs w:val="22"/>
        </w:rPr>
        <w:t>Travel &amp; Expense Reports</w:t>
      </w:r>
    </w:p>
    <w:p w14:paraId="2F3B3F48" w14:textId="77777777" w:rsidR="004F3332" w:rsidRPr="00E5019D" w:rsidRDefault="004F3332" w:rsidP="00B926D5">
      <w:pPr>
        <w:pStyle w:val="ListParagraph"/>
        <w:numPr>
          <w:ilvl w:val="1"/>
          <w:numId w:val="1"/>
        </w:numPr>
        <w:spacing w:line="240" w:lineRule="auto"/>
        <w:ind w:left="1080"/>
        <w:rPr>
          <w:rFonts w:asciiTheme="minorHAnsi" w:hAnsiTheme="minorHAnsi" w:cstheme="minorHAnsi"/>
          <w:sz w:val="20"/>
          <w:szCs w:val="20"/>
        </w:rPr>
      </w:pPr>
      <w:r w:rsidRPr="00E5019D">
        <w:rPr>
          <w:rFonts w:asciiTheme="minorHAnsi" w:hAnsiTheme="minorHAnsi" w:cstheme="minorHAnsi"/>
          <w:sz w:val="20"/>
          <w:szCs w:val="20"/>
        </w:rPr>
        <w:t>Travel and expense reimbursements submitted within 5 business days of return from travel or incurred expense</w:t>
      </w:r>
    </w:p>
    <w:p w14:paraId="629C4D93" w14:textId="18DB5061" w:rsidR="004F3332" w:rsidRPr="00E5019D" w:rsidRDefault="004F3332" w:rsidP="4213DCE5">
      <w:pPr>
        <w:pStyle w:val="ListParagraph"/>
        <w:numPr>
          <w:ilvl w:val="1"/>
          <w:numId w:val="1"/>
        </w:numPr>
        <w:spacing w:line="240" w:lineRule="auto"/>
        <w:ind w:left="1080"/>
        <w:rPr>
          <w:rFonts w:asciiTheme="minorHAnsi" w:eastAsiaTheme="minorEastAsia" w:hAnsiTheme="minorHAnsi"/>
          <w:sz w:val="20"/>
          <w:szCs w:val="20"/>
        </w:rPr>
      </w:pPr>
      <w:r w:rsidRPr="4213DCE5">
        <w:rPr>
          <w:rFonts w:asciiTheme="minorHAnsi" w:hAnsiTheme="minorHAnsi"/>
          <w:sz w:val="20"/>
          <w:szCs w:val="20"/>
        </w:rPr>
        <w:t>Reimbursements &gt;45 days will have to be processed via Payroll and could be taxable on W-2 for employee</w:t>
      </w:r>
      <w:r w:rsidR="003A352D">
        <w:rPr>
          <w:rFonts w:asciiTheme="minorHAnsi" w:hAnsiTheme="minorHAnsi"/>
          <w:sz w:val="20"/>
          <w:szCs w:val="20"/>
        </w:rPr>
        <w:t xml:space="preserve">. </w:t>
      </w:r>
      <w:hyperlink r:id="rId8">
        <w:r w:rsidR="291A8479" w:rsidRPr="003A352D">
          <w:rPr>
            <w:rStyle w:val="Hyperlink"/>
            <w:rFonts w:asciiTheme="minorHAnsi" w:eastAsia="Georgia" w:hAnsiTheme="minorHAnsi" w:cstheme="minorHAnsi"/>
            <w:color w:val="0000FF"/>
            <w:sz w:val="20"/>
            <w:szCs w:val="20"/>
          </w:rPr>
          <w:t>Procedure Modification for Taxable Travel Reimbursements</w:t>
        </w:r>
      </w:hyperlink>
    </w:p>
    <w:p w14:paraId="3A31AA39" w14:textId="77777777" w:rsidR="004F3332" w:rsidRPr="00C148DD" w:rsidRDefault="004F3332" w:rsidP="4213DCE5">
      <w:pPr>
        <w:pStyle w:val="ListParagraph"/>
        <w:numPr>
          <w:ilvl w:val="1"/>
          <w:numId w:val="1"/>
        </w:numPr>
        <w:spacing w:line="240" w:lineRule="auto"/>
        <w:ind w:left="1080"/>
        <w:rPr>
          <w:rFonts w:asciiTheme="minorHAnsi" w:hAnsiTheme="minorHAnsi"/>
          <w:sz w:val="20"/>
          <w:szCs w:val="20"/>
        </w:rPr>
      </w:pPr>
      <w:r w:rsidRPr="4213DCE5">
        <w:rPr>
          <w:rFonts w:asciiTheme="minorHAnsi" w:hAnsiTheme="minorHAnsi"/>
          <w:sz w:val="20"/>
          <w:szCs w:val="20"/>
        </w:rPr>
        <w:t>“Note” section completed with business purpose of travel or purchase AND identify funding source for the approver</w:t>
      </w:r>
    </w:p>
    <w:p w14:paraId="1A63A510" w14:textId="45B1068F" w:rsidR="004F3332" w:rsidRPr="00C148DD" w:rsidRDefault="004F3332" w:rsidP="4213DCE5">
      <w:pPr>
        <w:pStyle w:val="ListParagraph"/>
        <w:numPr>
          <w:ilvl w:val="1"/>
          <w:numId w:val="1"/>
        </w:numPr>
        <w:spacing w:line="240" w:lineRule="auto"/>
        <w:ind w:left="1080"/>
        <w:rPr>
          <w:rFonts w:asciiTheme="minorHAnsi" w:hAnsiTheme="minorHAnsi"/>
          <w:sz w:val="20"/>
          <w:szCs w:val="20"/>
        </w:rPr>
      </w:pPr>
      <w:r w:rsidRPr="4213DCE5">
        <w:rPr>
          <w:rFonts w:asciiTheme="minorHAnsi" w:hAnsiTheme="minorHAnsi"/>
          <w:sz w:val="20"/>
          <w:szCs w:val="20"/>
        </w:rPr>
        <w:t>Description should begin with unit</w:t>
      </w:r>
      <w:r w:rsidR="11B383F0" w:rsidRPr="4213DCE5">
        <w:rPr>
          <w:rFonts w:asciiTheme="minorHAnsi" w:hAnsiTheme="minorHAnsi"/>
          <w:sz w:val="20"/>
          <w:szCs w:val="20"/>
        </w:rPr>
        <w:t xml:space="preserve"> </w:t>
      </w:r>
      <w:r w:rsidR="11B383F0" w:rsidRPr="003A352D">
        <w:rPr>
          <w:rFonts w:asciiTheme="minorHAnsi" w:hAnsiTheme="minorHAnsi"/>
          <w:sz w:val="20"/>
          <w:szCs w:val="20"/>
        </w:rPr>
        <w:t>(</w:t>
      </w:r>
      <w:proofErr w:type="spellStart"/>
      <w:r w:rsidR="11B383F0" w:rsidRPr="003A352D">
        <w:rPr>
          <w:rFonts w:asciiTheme="minorHAnsi" w:hAnsiTheme="minorHAnsi"/>
          <w:sz w:val="20"/>
          <w:szCs w:val="20"/>
        </w:rPr>
        <w:t>ie</w:t>
      </w:r>
      <w:proofErr w:type="spellEnd"/>
      <w:r w:rsidR="11B383F0" w:rsidRPr="003A352D">
        <w:rPr>
          <w:rFonts w:asciiTheme="minorHAnsi" w:hAnsiTheme="minorHAnsi"/>
          <w:sz w:val="20"/>
          <w:szCs w:val="20"/>
        </w:rPr>
        <w:t xml:space="preserve">: CSS, ADS, </w:t>
      </w:r>
      <w:proofErr w:type="spellStart"/>
      <w:r w:rsidR="11B383F0" w:rsidRPr="003A352D">
        <w:rPr>
          <w:rFonts w:asciiTheme="minorHAnsi" w:hAnsiTheme="minorHAnsi"/>
          <w:sz w:val="20"/>
          <w:szCs w:val="20"/>
        </w:rPr>
        <w:t>PlathPath</w:t>
      </w:r>
      <w:proofErr w:type="spellEnd"/>
      <w:r w:rsidR="11B383F0" w:rsidRPr="003A352D">
        <w:rPr>
          <w:rFonts w:asciiTheme="minorHAnsi" w:hAnsiTheme="minorHAnsi"/>
          <w:sz w:val="20"/>
          <w:szCs w:val="20"/>
        </w:rPr>
        <w:t>, AESL, NED, etc</w:t>
      </w:r>
      <w:r w:rsidR="003A352D" w:rsidRPr="003A352D">
        <w:rPr>
          <w:rFonts w:asciiTheme="minorHAnsi" w:hAnsiTheme="minorHAnsi"/>
          <w:sz w:val="20"/>
          <w:szCs w:val="20"/>
        </w:rPr>
        <w:t>.</w:t>
      </w:r>
      <w:r w:rsidR="11B383F0" w:rsidRPr="003A352D">
        <w:rPr>
          <w:rFonts w:asciiTheme="minorHAnsi" w:hAnsiTheme="minorHAnsi"/>
          <w:sz w:val="20"/>
          <w:szCs w:val="20"/>
        </w:rPr>
        <w:t>)</w:t>
      </w:r>
      <w:r w:rsidRPr="003A352D">
        <w:rPr>
          <w:rFonts w:asciiTheme="minorHAnsi" w:hAnsiTheme="minorHAnsi"/>
          <w:sz w:val="20"/>
          <w:szCs w:val="20"/>
        </w:rPr>
        <w:t>,</w:t>
      </w:r>
      <w:r w:rsidRPr="4213DCE5">
        <w:rPr>
          <w:rFonts w:asciiTheme="minorHAnsi" w:hAnsiTheme="minorHAnsi"/>
          <w:sz w:val="20"/>
          <w:szCs w:val="20"/>
        </w:rPr>
        <w:t xml:space="preserve"> colon and then appropriate and accurate description (e</w:t>
      </w:r>
      <w:r w:rsidR="003A352D">
        <w:rPr>
          <w:rFonts w:asciiTheme="minorHAnsi" w:hAnsiTheme="minorHAnsi"/>
          <w:sz w:val="20"/>
          <w:szCs w:val="20"/>
        </w:rPr>
        <w:t>x</w:t>
      </w:r>
      <w:r w:rsidRPr="4213DCE5">
        <w:rPr>
          <w:rFonts w:asciiTheme="minorHAnsi" w:hAnsiTheme="minorHAnsi"/>
          <w:sz w:val="20"/>
          <w:szCs w:val="20"/>
        </w:rPr>
        <w:t>.</w:t>
      </w:r>
      <w:r w:rsidR="003A352D">
        <w:rPr>
          <w:rFonts w:asciiTheme="minorHAnsi" w:hAnsiTheme="minorHAnsi"/>
          <w:sz w:val="20"/>
          <w:szCs w:val="20"/>
        </w:rPr>
        <w:t xml:space="preserve"> </w:t>
      </w:r>
      <w:r w:rsidRPr="4213DCE5">
        <w:rPr>
          <w:rFonts w:asciiTheme="minorHAnsi" w:hAnsiTheme="minorHAnsi"/>
          <w:sz w:val="20"/>
          <w:szCs w:val="20"/>
        </w:rPr>
        <w:t>BFO: Mileage to Conference Jul19 or BFO: Food supplies for presentation)</w:t>
      </w:r>
    </w:p>
    <w:p w14:paraId="21220BA8" w14:textId="77777777" w:rsidR="004F3332" w:rsidRPr="00E5019D" w:rsidRDefault="004F3332" w:rsidP="00B926D5">
      <w:pPr>
        <w:pStyle w:val="ListParagraph"/>
        <w:numPr>
          <w:ilvl w:val="0"/>
          <w:numId w:val="1"/>
        </w:numPr>
        <w:spacing w:line="240" w:lineRule="auto"/>
        <w:ind w:left="360"/>
        <w:rPr>
          <w:rFonts w:asciiTheme="minorHAnsi" w:hAnsiTheme="minorHAnsi" w:cstheme="minorHAnsi"/>
          <w:b/>
          <w:sz w:val="22"/>
          <w:szCs w:val="22"/>
        </w:rPr>
      </w:pPr>
      <w:r w:rsidRPr="00E5019D">
        <w:rPr>
          <w:rFonts w:asciiTheme="minorHAnsi" w:hAnsiTheme="minorHAnsi" w:cstheme="minorHAnsi"/>
          <w:b/>
          <w:sz w:val="22"/>
          <w:szCs w:val="22"/>
        </w:rPr>
        <w:t>Payment Requests / AP Journal Vouchers</w:t>
      </w:r>
    </w:p>
    <w:p w14:paraId="372F34D7" w14:textId="6D6F30D0" w:rsidR="004F3332" w:rsidRPr="00E5019D" w:rsidRDefault="004F3332" w:rsidP="4213DCE5">
      <w:pPr>
        <w:pStyle w:val="ListParagraph"/>
        <w:numPr>
          <w:ilvl w:val="1"/>
          <w:numId w:val="1"/>
        </w:numPr>
        <w:spacing w:line="240" w:lineRule="auto"/>
        <w:ind w:left="1080"/>
        <w:rPr>
          <w:rFonts w:asciiTheme="minorHAnsi" w:hAnsiTheme="minorHAnsi"/>
          <w:sz w:val="20"/>
          <w:szCs w:val="20"/>
        </w:rPr>
      </w:pPr>
      <w:r w:rsidRPr="4213DCE5">
        <w:rPr>
          <w:rFonts w:asciiTheme="minorHAnsi" w:hAnsiTheme="minorHAnsi"/>
          <w:sz w:val="20"/>
          <w:szCs w:val="20"/>
        </w:rPr>
        <w:t xml:space="preserve">Payment requests submitted within </w:t>
      </w:r>
      <w:r w:rsidR="6E7771B3" w:rsidRPr="003A352D">
        <w:rPr>
          <w:rFonts w:asciiTheme="minorHAnsi" w:hAnsiTheme="minorHAnsi"/>
          <w:sz w:val="20"/>
          <w:szCs w:val="20"/>
        </w:rPr>
        <w:t>2</w:t>
      </w:r>
      <w:r w:rsidRPr="4213DCE5">
        <w:rPr>
          <w:rFonts w:asciiTheme="minorHAnsi" w:hAnsiTheme="minorHAnsi"/>
          <w:sz w:val="20"/>
          <w:szCs w:val="20"/>
        </w:rPr>
        <w:t xml:space="preserve"> business days of receipt</w:t>
      </w:r>
      <w:r w:rsidR="72A688F3" w:rsidRPr="4213DCE5">
        <w:rPr>
          <w:rFonts w:asciiTheme="minorHAnsi" w:hAnsiTheme="minorHAnsi"/>
          <w:sz w:val="20"/>
          <w:szCs w:val="20"/>
        </w:rPr>
        <w:t xml:space="preserve"> of invoice, </w:t>
      </w:r>
      <w:r w:rsidR="72A688F3" w:rsidRPr="003A352D">
        <w:rPr>
          <w:rFonts w:asciiTheme="minorHAnsi" w:hAnsiTheme="minorHAnsi"/>
          <w:sz w:val="20"/>
          <w:szCs w:val="20"/>
        </w:rPr>
        <w:t>payment should be fully processed within 5 days</w:t>
      </w:r>
    </w:p>
    <w:p w14:paraId="23E3E305" w14:textId="22C83964" w:rsidR="004F3332" w:rsidRPr="00E5019D" w:rsidRDefault="004F3332" w:rsidP="4213DCE5">
      <w:pPr>
        <w:pStyle w:val="ListParagraph"/>
        <w:numPr>
          <w:ilvl w:val="1"/>
          <w:numId w:val="1"/>
        </w:numPr>
        <w:spacing w:line="240" w:lineRule="auto"/>
        <w:ind w:left="1080"/>
        <w:rPr>
          <w:rFonts w:asciiTheme="minorHAnsi" w:hAnsiTheme="minorHAnsi"/>
          <w:sz w:val="20"/>
          <w:szCs w:val="20"/>
        </w:rPr>
      </w:pPr>
      <w:r w:rsidRPr="3432577B">
        <w:rPr>
          <w:rFonts w:asciiTheme="minorHAnsi" w:hAnsiTheme="minorHAnsi"/>
          <w:sz w:val="20"/>
          <w:szCs w:val="20"/>
        </w:rPr>
        <w:t>“Notes/Comments” section completed with business purpose of purchase</w:t>
      </w:r>
      <w:r w:rsidR="003A352D">
        <w:rPr>
          <w:rFonts w:asciiTheme="minorHAnsi" w:hAnsiTheme="minorHAnsi"/>
          <w:sz w:val="20"/>
          <w:szCs w:val="20"/>
        </w:rPr>
        <w:t>.</w:t>
      </w:r>
      <w:r w:rsidR="4AD0C33B" w:rsidRPr="3432577B">
        <w:rPr>
          <w:rFonts w:asciiTheme="minorHAnsi" w:hAnsiTheme="minorHAnsi"/>
          <w:sz w:val="20"/>
          <w:szCs w:val="20"/>
        </w:rPr>
        <w:t xml:space="preserve"> </w:t>
      </w:r>
      <w:r w:rsidR="003A352D">
        <w:rPr>
          <w:rFonts w:asciiTheme="minorHAnsi" w:hAnsiTheme="minorHAnsi"/>
          <w:sz w:val="20"/>
          <w:szCs w:val="20"/>
        </w:rPr>
        <w:t>If</w:t>
      </w:r>
      <w:r w:rsidR="4AD0C33B" w:rsidRPr="3432577B">
        <w:rPr>
          <w:rFonts w:asciiTheme="minorHAnsi" w:hAnsiTheme="minorHAnsi"/>
          <w:sz w:val="20"/>
          <w:szCs w:val="20"/>
        </w:rPr>
        <w:t xml:space="preserve"> on </w:t>
      </w:r>
      <w:r w:rsidR="003A352D">
        <w:rPr>
          <w:rFonts w:asciiTheme="minorHAnsi" w:hAnsiTheme="minorHAnsi"/>
          <w:sz w:val="20"/>
          <w:szCs w:val="20"/>
        </w:rPr>
        <w:t>P</w:t>
      </w:r>
      <w:r w:rsidR="4AD0C33B" w:rsidRPr="3432577B">
        <w:rPr>
          <w:rFonts w:asciiTheme="minorHAnsi" w:hAnsiTheme="minorHAnsi"/>
          <w:sz w:val="20"/>
          <w:szCs w:val="20"/>
        </w:rPr>
        <w:t>roject include justification of how it relates to the Project</w:t>
      </w:r>
    </w:p>
    <w:p w14:paraId="2B1BA3B7" w14:textId="2A0D3C6F" w:rsidR="004F3332" w:rsidRPr="00C148DD" w:rsidRDefault="004F3332" w:rsidP="3432577B">
      <w:pPr>
        <w:pStyle w:val="ListParagraph"/>
        <w:numPr>
          <w:ilvl w:val="1"/>
          <w:numId w:val="1"/>
        </w:numPr>
        <w:spacing w:line="240" w:lineRule="auto"/>
        <w:ind w:left="1080"/>
        <w:rPr>
          <w:rFonts w:asciiTheme="minorHAnsi" w:hAnsiTheme="minorHAnsi"/>
          <w:sz w:val="20"/>
          <w:szCs w:val="20"/>
        </w:rPr>
      </w:pPr>
      <w:r w:rsidRPr="3432577B">
        <w:rPr>
          <w:rFonts w:asciiTheme="minorHAnsi" w:hAnsiTheme="minorHAnsi"/>
          <w:sz w:val="20"/>
          <w:szCs w:val="20"/>
        </w:rPr>
        <w:t>Description should begin with</w:t>
      </w:r>
      <w:r w:rsidR="008F567E">
        <w:rPr>
          <w:rFonts w:asciiTheme="minorHAnsi" w:hAnsiTheme="minorHAnsi"/>
          <w:sz w:val="20"/>
          <w:szCs w:val="20"/>
        </w:rPr>
        <w:t xml:space="preserve"> initiating</w:t>
      </w:r>
      <w:r w:rsidRPr="3432577B">
        <w:rPr>
          <w:rFonts w:asciiTheme="minorHAnsi" w:hAnsiTheme="minorHAnsi"/>
          <w:sz w:val="20"/>
          <w:szCs w:val="20"/>
        </w:rPr>
        <w:t xml:space="preserve"> unit, colon and then appropriate and accurate description (e.g.  C</w:t>
      </w:r>
      <w:r w:rsidR="58570235" w:rsidRPr="3432577B">
        <w:rPr>
          <w:rFonts w:asciiTheme="minorHAnsi" w:hAnsiTheme="minorHAnsi"/>
          <w:sz w:val="20"/>
          <w:szCs w:val="20"/>
        </w:rPr>
        <w:t>SS</w:t>
      </w:r>
      <w:r w:rsidRPr="3432577B">
        <w:rPr>
          <w:rFonts w:asciiTheme="minorHAnsi" w:hAnsiTheme="minorHAnsi"/>
          <w:sz w:val="20"/>
          <w:szCs w:val="20"/>
        </w:rPr>
        <w:t xml:space="preserve">: Afternoon Snacks Jul19 or </w:t>
      </w:r>
      <w:r w:rsidR="32F4CA89" w:rsidRPr="3432577B">
        <w:rPr>
          <w:rFonts w:asciiTheme="minorHAnsi" w:hAnsiTheme="minorHAnsi"/>
          <w:sz w:val="20"/>
          <w:szCs w:val="20"/>
        </w:rPr>
        <w:t>ADS</w:t>
      </w:r>
      <w:r w:rsidRPr="3432577B">
        <w:rPr>
          <w:rFonts w:asciiTheme="minorHAnsi" w:hAnsiTheme="minorHAnsi"/>
          <w:sz w:val="20"/>
          <w:szCs w:val="20"/>
        </w:rPr>
        <w:t>: Chair Repair)</w:t>
      </w:r>
    </w:p>
    <w:p w14:paraId="77F33477" w14:textId="77777777" w:rsidR="004F3332" w:rsidRPr="00E5019D" w:rsidRDefault="004F3332" w:rsidP="00B926D5">
      <w:pPr>
        <w:pStyle w:val="ListParagraph"/>
        <w:numPr>
          <w:ilvl w:val="1"/>
          <w:numId w:val="1"/>
        </w:numPr>
        <w:spacing w:line="240" w:lineRule="auto"/>
        <w:ind w:left="1080"/>
        <w:rPr>
          <w:rFonts w:asciiTheme="minorHAnsi" w:hAnsiTheme="minorHAnsi" w:cstheme="minorHAnsi"/>
          <w:sz w:val="20"/>
          <w:szCs w:val="20"/>
        </w:rPr>
      </w:pPr>
      <w:r w:rsidRPr="00E5019D">
        <w:rPr>
          <w:rFonts w:asciiTheme="minorHAnsi" w:hAnsiTheme="minorHAnsi" w:cstheme="minorHAnsi"/>
          <w:sz w:val="20"/>
          <w:szCs w:val="20"/>
        </w:rPr>
        <w:t>Invoice Details – Line Description should be entered as appears on invoice for the goods or services being paid for via payment request</w:t>
      </w:r>
    </w:p>
    <w:p w14:paraId="6865D687" w14:textId="77777777" w:rsidR="004F3332" w:rsidRPr="00E5019D" w:rsidRDefault="004F3332" w:rsidP="00B926D5">
      <w:pPr>
        <w:pStyle w:val="ListParagraph"/>
        <w:numPr>
          <w:ilvl w:val="1"/>
          <w:numId w:val="1"/>
        </w:numPr>
        <w:spacing w:line="240" w:lineRule="auto"/>
        <w:ind w:left="1080"/>
        <w:rPr>
          <w:rFonts w:asciiTheme="minorHAnsi" w:hAnsiTheme="minorHAnsi" w:cstheme="minorHAnsi"/>
          <w:sz w:val="20"/>
          <w:szCs w:val="20"/>
        </w:rPr>
      </w:pPr>
      <w:r w:rsidRPr="00E5019D">
        <w:rPr>
          <w:rFonts w:asciiTheme="minorHAnsi" w:hAnsiTheme="minorHAnsi" w:cstheme="minorHAnsi"/>
          <w:sz w:val="20"/>
          <w:szCs w:val="20"/>
        </w:rPr>
        <w:t>AP Journal Vouchers must be completely approved in workflow and budget checked by noon on the last business day of the same accounting month or central will purge at month-end</w:t>
      </w:r>
    </w:p>
    <w:p w14:paraId="5FA8FDC6" w14:textId="77777777" w:rsidR="004F3332" w:rsidRPr="00E5019D" w:rsidRDefault="004F3332" w:rsidP="00B926D5">
      <w:pPr>
        <w:pStyle w:val="ListParagraph"/>
        <w:numPr>
          <w:ilvl w:val="0"/>
          <w:numId w:val="1"/>
        </w:numPr>
        <w:spacing w:line="240" w:lineRule="auto"/>
        <w:ind w:left="360"/>
        <w:rPr>
          <w:rFonts w:asciiTheme="minorHAnsi" w:hAnsiTheme="minorHAnsi" w:cstheme="minorHAnsi"/>
          <w:b/>
          <w:sz w:val="22"/>
          <w:szCs w:val="22"/>
        </w:rPr>
      </w:pPr>
      <w:r w:rsidRPr="00E5019D">
        <w:rPr>
          <w:rFonts w:asciiTheme="minorHAnsi" w:hAnsiTheme="minorHAnsi" w:cstheme="minorHAnsi"/>
          <w:b/>
          <w:sz w:val="22"/>
          <w:szCs w:val="22"/>
        </w:rPr>
        <w:t>GL Journals / Intra-University Payments</w:t>
      </w:r>
    </w:p>
    <w:p w14:paraId="0B2D4E2E" w14:textId="046C23DD" w:rsidR="004F3332" w:rsidRPr="00E5019D" w:rsidRDefault="004F3332" w:rsidP="00B926D5">
      <w:pPr>
        <w:pStyle w:val="ListParagraph"/>
        <w:numPr>
          <w:ilvl w:val="1"/>
          <w:numId w:val="1"/>
        </w:numPr>
        <w:spacing w:line="240" w:lineRule="auto"/>
        <w:ind w:left="1080"/>
        <w:rPr>
          <w:rFonts w:asciiTheme="minorHAnsi" w:hAnsiTheme="minorHAnsi" w:cstheme="minorHAnsi"/>
          <w:sz w:val="20"/>
          <w:szCs w:val="20"/>
        </w:rPr>
      </w:pPr>
      <w:r w:rsidRPr="00E5019D">
        <w:rPr>
          <w:rFonts w:asciiTheme="minorHAnsi" w:hAnsiTheme="minorHAnsi" w:cstheme="minorHAnsi"/>
          <w:sz w:val="20"/>
          <w:szCs w:val="20"/>
        </w:rPr>
        <w:t xml:space="preserve">Long Description section completed with </w:t>
      </w:r>
      <w:r w:rsidR="00AB096E">
        <w:rPr>
          <w:rFonts w:asciiTheme="minorHAnsi" w:hAnsiTheme="minorHAnsi" w:cstheme="minorHAnsi"/>
          <w:sz w:val="20"/>
          <w:szCs w:val="20"/>
        </w:rPr>
        <w:t xml:space="preserve">initiating </w:t>
      </w:r>
      <w:r w:rsidRPr="00E5019D">
        <w:rPr>
          <w:rFonts w:asciiTheme="minorHAnsi" w:hAnsiTheme="minorHAnsi" w:cstheme="minorHAnsi"/>
          <w:sz w:val="20"/>
          <w:szCs w:val="20"/>
        </w:rPr>
        <w:t xml:space="preserve">unit, colon (:), and explanation of action and business purpose </w:t>
      </w:r>
    </w:p>
    <w:p w14:paraId="26A4DAAF" w14:textId="77777777" w:rsidR="004F3332" w:rsidRPr="00E5019D" w:rsidRDefault="004F3332" w:rsidP="00B926D5">
      <w:pPr>
        <w:pStyle w:val="ListParagraph"/>
        <w:numPr>
          <w:ilvl w:val="1"/>
          <w:numId w:val="1"/>
        </w:numPr>
        <w:spacing w:line="240" w:lineRule="auto"/>
        <w:ind w:left="1080"/>
        <w:rPr>
          <w:rFonts w:asciiTheme="minorHAnsi" w:hAnsiTheme="minorHAnsi" w:cstheme="minorHAnsi"/>
          <w:sz w:val="20"/>
          <w:szCs w:val="20"/>
        </w:rPr>
      </w:pPr>
      <w:r w:rsidRPr="00E5019D">
        <w:rPr>
          <w:rFonts w:asciiTheme="minorHAnsi" w:hAnsiTheme="minorHAnsi" w:cstheme="minorHAnsi"/>
          <w:sz w:val="20"/>
          <w:szCs w:val="20"/>
        </w:rPr>
        <w:t>Include all appropriate attachments including applicable emails</w:t>
      </w:r>
    </w:p>
    <w:p w14:paraId="26699334" w14:textId="77777777" w:rsidR="004F3332" w:rsidRPr="00E5019D" w:rsidRDefault="004F3332" w:rsidP="00B926D5">
      <w:pPr>
        <w:pStyle w:val="ListParagraph"/>
        <w:numPr>
          <w:ilvl w:val="0"/>
          <w:numId w:val="1"/>
        </w:numPr>
        <w:spacing w:line="240" w:lineRule="auto"/>
        <w:ind w:left="360"/>
        <w:rPr>
          <w:rFonts w:asciiTheme="minorHAnsi" w:hAnsiTheme="minorHAnsi" w:cstheme="minorHAnsi"/>
          <w:b/>
          <w:sz w:val="22"/>
          <w:szCs w:val="22"/>
        </w:rPr>
      </w:pPr>
      <w:r w:rsidRPr="00E5019D">
        <w:rPr>
          <w:rFonts w:asciiTheme="minorHAnsi" w:hAnsiTheme="minorHAnsi" w:cstheme="minorHAnsi"/>
          <w:b/>
          <w:sz w:val="22"/>
          <w:szCs w:val="22"/>
        </w:rPr>
        <w:t>Budget Journals / Transfers</w:t>
      </w:r>
    </w:p>
    <w:p w14:paraId="26566F7C" w14:textId="17160D42" w:rsidR="004F3332" w:rsidRPr="00E5019D" w:rsidRDefault="004F3332" w:rsidP="00B926D5">
      <w:pPr>
        <w:pStyle w:val="ListParagraph"/>
        <w:numPr>
          <w:ilvl w:val="1"/>
          <w:numId w:val="1"/>
        </w:numPr>
        <w:spacing w:line="240" w:lineRule="auto"/>
        <w:ind w:left="1080"/>
        <w:rPr>
          <w:rFonts w:asciiTheme="minorHAnsi" w:hAnsiTheme="minorHAnsi" w:cstheme="minorHAnsi"/>
          <w:sz w:val="20"/>
          <w:szCs w:val="20"/>
        </w:rPr>
      </w:pPr>
      <w:r w:rsidRPr="00E5019D">
        <w:rPr>
          <w:rFonts w:asciiTheme="minorHAnsi" w:hAnsiTheme="minorHAnsi" w:cstheme="minorHAnsi"/>
          <w:sz w:val="20"/>
          <w:szCs w:val="20"/>
        </w:rPr>
        <w:t>Long Description section completed with</w:t>
      </w:r>
      <w:r w:rsidR="00AB096E">
        <w:rPr>
          <w:rFonts w:asciiTheme="minorHAnsi" w:hAnsiTheme="minorHAnsi" w:cstheme="minorHAnsi"/>
          <w:sz w:val="20"/>
          <w:szCs w:val="20"/>
        </w:rPr>
        <w:t xml:space="preserve"> initiating</w:t>
      </w:r>
      <w:bookmarkStart w:id="0" w:name="_GoBack"/>
      <w:bookmarkEnd w:id="0"/>
      <w:r w:rsidRPr="00E5019D">
        <w:rPr>
          <w:rFonts w:asciiTheme="minorHAnsi" w:hAnsiTheme="minorHAnsi" w:cstheme="minorHAnsi"/>
          <w:sz w:val="20"/>
          <w:szCs w:val="20"/>
        </w:rPr>
        <w:t xml:space="preserve"> unit, colon (:), and explanation of action and business purpose as well as funding source if needed for approval</w:t>
      </w:r>
    </w:p>
    <w:p w14:paraId="7A4E2C45" w14:textId="77777777" w:rsidR="004F3332" w:rsidRPr="00E5019D" w:rsidRDefault="004F3332" w:rsidP="00B926D5">
      <w:pPr>
        <w:pStyle w:val="ListParagraph"/>
        <w:numPr>
          <w:ilvl w:val="1"/>
          <w:numId w:val="1"/>
        </w:numPr>
        <w:spacing w:line="240" w:lineRule="auto"/>
        <w:ind w:left="1080"/>
        <w:rPr>
          <w:rFonts w:asciiTheme="minorHAnsi" w:hAnsiTheme="minorHAnsi" w:cstheme="minorHAnsi"/>
          <w:sz w:val="20"/>
          <w:szCs w:val="20"/>
        </w:rPr>
      </w:pPr>
      <w:r w:rsidRPr="00E5019D">
        <w:rPr>
          <w:rFonts w:asciiTheme="minorHAnsi" w:hAnsiTheme="minorHAnsi" w:cstheme="minorHAnsi"/>
          <w:sz w:val="20"/>
          <w:szCs w:val="20"/>
        </w:rPr>
        <w:t>Alternate Description section can be used for additional information to support the budget journal or transfer</w:t>
      </w:r>
    </w:p>
    <w:p w14:paraId="00B034EA" w14:textId="77777777" w:rsidR="004F3332" w:rsidRPr="00E5019D" w:rsidRDefault="004F3332" w:rsidP="00B926D5">
      <w:pPr>
        <w:pStyle w:val="ListParagraph"/>
        <w:numPr>
          <w:ilvl w:val="1"/>
          <w:numId w:val="1"/>
        </w:numPr>
        <w:spacing w:line="240" w:lineRule="auto"/>
        <w:ind w:left="1080"/>
        <w:rPr>
          <w:rFonts w:asciiTheme="minorHAnsi" w:hAnsiTheme="minorHAnsi" w:cstheme="minorHAnsi"/>
          <w:sz w:val="20"/>
          <w:szCs w:val="20"/>
        </w:rPr>
      </w:pPr>
      <w:r w:rsidRPr="00E5019D">
        <w:rPr>
          <w:rFonts w:asciiTheme="minorHAnsi" w:hAnsiTheme="minorHAnsi" w:cstheme="minorHAnsi"/>
          <w:sz w:val="20"/>
          <w:szCs w:val="20"/>
        </w:rPr>
        <w:t>Include all appropriate attachments including applicable emails (required if using contingency)</w:t>
      </w:r>
    </w:p>
    <w:p w14:paraId="76FC52BD" w14:textId="77777777" w:rsidR="004F3332" w:rsidRPr="00E5019D" w:rsidRDefault="004F3332" w:rsidP="00B926D5">
      <w:pPr>
        <w:pStyle w:val="ListParagraph"/>
        <w:numPr>
          <w:ilvl w:val="1"/>
          <w:numId w:val="1"/>
        </w:numPr>
        <w:spacing w:line="240" w:lineRule="auto"/>
        <w:ind w:left="1080"/>
        <w:rPr>
          <w:rFonts w:asciiTheme="minorHAnsi" w:hAnsiTheme="minorHAnsi" w:cstheme="minorHAnsi"/>
          <w:sz w:val="20"/>
          <w:szCs w:val="20"/>
        </w:rPr>
      </w:pPr>
      <w:r w:rsidRPr="00E5019D">
        <w:rPr>
          <w:rFonts w:asciiTheme="minorHAnsi" w:hAnsiTheme="minorHAnsi" w:cstheme="minorHAnsi"/>
          <w:sz w:val="20"/>
          <w:szCs w:val="20"/>
        </w:rPr>
        <w:t>Budget Journals/ Transfers must be completely approved in workflow and budget checked by noon on the first business day of the following accounting month or central will purge at month-end</w:t>
      </w:r>
    </w:p>
    <w:p w14:paraId="03F88F5F" w14:textId="77777777" w:rsidR="004F3332" w:rsidRPr="00E5019D" w:rsidRDefault="004F3332" w:rsidP="00B926D5">
      <w:pPr>
        <w:pStyle w:val="ListParagraph"/>
        <w:numPr>
          <w:ilvl w:val="1"/>
          <w:numId w:val="1"/>
        </w:numPr>
        <w:spacing w:line="240" w:lineRule="auto"/>
        <w:ind w:left="1080"/>
        <w:rPr>
          <w:rFonts w:asciiTheme="minorHAnsi" w:hAnsiTheme="minorHAnsi" w:cstheme="minorHAnsi"/>
          <w:sz w:val="20"/>
          <w:szCs w:val="20"/>
        </w:rPr>
      </w:pPr>
      <w:r w:rsidRPr="00E5019D">
        <w:rPr>
          <w:rFonts w:asciiTheme="minorHAnsi" w:hAnsiTheme="minorHAnsi" w:cstheme="minorHAnsi"/>
          <w:sz w:val="20"/>
          <w:szCs w:val="20"/>
        </w:rPr>
        <w:t xml:space="preserve">Un-submitted, unapproved or pending budget </w:t>
      </w:r>
      <w:r w:rsidR="00C7404F" w:rsidRPr="00E5019D">
        <w:rPr>
          <w:rFonts w:asciiTheme="minorHAnsi" w:hAnsiTheme="minorHAnsi" w:cstheme="minorHAnsi"/>
          <w:sz w:val="20"/>
          <w:szCs w:val="20"/>
        </w:rPr>
        <w:t>transfers/ journals</w:t>
      </w:r>
      <w:r w:rsidRPr="00E5019D">
        <w:rPr>
          <w:rFonts w:asciiTheme="minorHAnsi" w:hAnsiTheme="minorHAnsi" w:cstheme="minorHAnsi"/>
          <w:sz w:val="20"/>
          <w:szCs w:val="20"/>
        </w:rPr>
        <w:t xml:space="preserve"> will be purged monthly by noon on the second business day of the following month</w:t>
      </w:r>
    </w:p>
    <w:p w14:paraId="2E665749" w14:textId="77777777" w:rsidR="004F3332" w:rsidRPr="00E5019D" w:rsidRDefault="004F3332" w:rsidP="00B926D5">
      <w:pPr>
        <w:pStyle w:val="ListParagraph"/>
        <w:numPr>
          <w:ilvl w:val="0"/>
          <w:numId w:val="1"/>
        </w:numPr>
        <w:spacing w:line="240" w:lineRule="auto"/>
        <w:ind w:left="360"/>
        <w:rPr>
          <w:rFonts w:asciiTheme="minorHAnsi" w:hAnsiTheme="minorHAnsi" w:cstheme="minorHAnsi"/>
          <w:b/>
          <w:sz w:val="22"/>
          <w:szCs w:val="22"/>
        </w:rPr>
      </w:pPr>
      <w:r w:rsidRPr="00E5019D">
        <w:rPr>
          <w:rFonts w:asciiTheme="minorHAnsi" w:hAnsiTheme="minorHAnsi" w:cstheme="minorHAnsi"/>
          <w:b/>
          <w:sz w:val="22"/>
          <w:szCs w:val="22"/>
        </w:rPr>
        <w:t>Purchase Orders</w:t>
      </w:r>
    </w:p>
    <w:p w14:paraId="37E0A19F" w14:textId="5C4F2754" w:rsidR="004F3332" w:rsidRPr="00E5019D" w:rsidRDefault="4A02EF67" w:rsidP="3432577B">
      <w:pPr>
        <w:pStyle w:val="ListParagraph"/>
        <w:numPr>
          <w:ilvl w:val="1"/>
          <w:numId w:val="1"/>
        </w:numPr>
        <w:spacing w:line="240" w:lineRule="auto"/>
        <w:ind w:left="1080"/>
        <w:rPr>
          <w:rFonts w:asciiTheme="minorHAnsi" w:hAnsiTheme="minorHAnsi"/>
          <w:sz w:val="20"/>
          <w:szCs w:val="20"/>
        </w:rPr>
      </w:pPr>
      <w:r w:rsidRPr="3432577B">
        <w:rPr>
          <w:rFonts w:asciiTheme="minorHAnsi" w:hAnsiTheme="minorHAnsi"/>
          <w:sz w:val="20"/>
          <w:szCs w:val="20"/>
        </w:rPr>
        <w:t>A</w:t>
      </w:r>
      <w:r w:rsidR="004F3332" w:rsidRPr="3432577B">
        <w:rPr>
          <w:rFonts w:asciiTheme="minorHAnsi" w:hAnsiTheme="minorHAnsi"/>
          <w:sz w:val="20"/>
          <w:szCs w:val="20"/>
        </w:rPr>
        <w:t>ddress “open” purchase orders (PO) monthly</w:t>
      </w:r>
    </w:p>
    <w:p w14:paraId="1A55A296" w14:textId="77777777" w:rsidR="004F3332" w:rsidRPr="00E5019D" w:rsidRDefault="004F3332" w:rsidP="3432577B">
      <w:pPr>
        <w:pStyle w:val="ListParagraph"/>
        <w:numPr>
          <w:ilvl w:val="2"/>
          <w:numId w:val="1"/>
        </w:numPr>
        <w:spacing w:line="240" w:lineRule="auto"/>
        <w:ind w:left="1800"/>
        <w:rPr>
          <w:rFonts w:asciiTheme="minorHAnsi" w:hAnsiTheme="minorHAnsi"/>
          <w:sz w:val="20"/>
          <w:szCs w:val="20"/>
        </w:rPr>
      </w:pPr>
      <w:r w:rsidRPr="3432577B">
        <w:rPr>
          <w:rFonts w:asciiTheme="minorHAnsi" w:hAnsiTheme="minorHAnsi"/>
          <w:sz w:val="20"/>
          <w:szCs w:val="20"/>
        </w:rPr>
        <w:t>Exceptions are non-expense account POs and sub-award POs</w:t>
      </w:r>
    </w:p>
    <w:p w14:paraId="6DEA34A7" w14:textId="77777777" w:rsidR="004F3332" w:rsidRPr="00E5019D" w:rsidRDefault="004F3332" w:rsidP="3432577B">
      <w:pPr>
        <w:pStyle w:val="ListParagraph"/>
        <w:numPr>
          <w:ilvl w:val="1"/>
          <w:numId w:val="1"/>
        </w:numPr>
        <w:spacing w:line="240" w:lineRule="auto"/>
        <w:ind w:left="1080"/>
        <w:rPr>
          <w:rFonts w:asciiTheme="minorHAnsi" w:hAnsiTheme="minorHAnsi"/>
          <w:sz w:val="20"/>
          <w:szCs w:val="20"/>
        </w:rPr>
      </w:pPr>
      <w:r w:rsidRPr="3432577B">
        <w:rPr>
          <w:rFonts w:asciiTheme="minorHAnsi" w:hAnsiTheme="minorHAnsi"/>
          <w:sz w:val="20"/>
          <w:szCs w:val="20"/>
        </w:rPr>
        <w:t>Do not close PO if the PO has not been invoiced, has unpaid invoices or when additional invoicing or credit memo activity is anticipated</w:t>
      </w:r>
    </w:p>
    <w:p w14:paraId="12C230EB" w14:textId="77777777" w:rsidR="004F3332" w:rsidRPr="00E5019D" w:rsidRDefault="004F3332" w:rsidP="00B926D5">
      <w:pPr>
        <w:pStyle w:val="ListParagraph"/>
        <w:numPr>
          <w:ilvl w:val="0"/>
          <w:numId w:val="1"/>
        </w:numPr>
        <w:spacing w:line="240" w:lineRule="auto"/>
        <w:ind w:left="360"/>
        <w:rPr>
          <w:rFonts w:asciiTheme="minorHAnsi" w:hAnsiTheme="minorHAnsi" w:cstheme="minorHAnsi"/>
          <w:b/>
          <w:sz w:val="22"/>
          <w:szCs w:val="22"/>
        </w:rPr>
      </w:pPr>
      <w:r w:rsidRPr="00E5019D">
        <w:rPr>
          <w:rFonts w:asciiTheme="minorHAnsi" w:hAnsiTheme="minorHAnsi" w:cstheme="minorHAnsi"/>
          <w:b/>
          <w:sz w:val="22"/>
          <w:szCs w:val="22"/>
        </w:rPr>
        <w:t>Payroll Adjustments Impacting Financials</w:t>
      </w:r>
    </w:p>
    <w:p w14:paraId="4ADE8D2C" w14:textId="77777777" w:rsidR="004F3332" w:rsidRPr="00E5019D" w:rsidRDefault="004F3332" w:rsidP="00B926D5">
      <w:pPr>
        <w:pStyle w:val="ListParagraph"/>
        <w:numPr>
          <w:ilvl w:val="1"/>
          <w:numId w:val="1"/>
        </w:numPr>
        <w:spacing w:line="240" w:lineRule="auto"/>
        <w:ind w:left="1080"/>
        <w:rPr>
          <w:rFonts w:asciiTheme="minorHAnsi" w:hAnsiTheme="minorHAnsi" w:cstheme="minorHAnsi"/>
          <w:sz w:val="20"/>
          <w:szCs w:val="20"/>
        </w:rPr>
      </w:pPr>
      <w:r w:rsidRPr="00E5019D">
        <w:rPr>
          <w:rFonts w:asciiTheme="minorHAnsi" w:hAnsiTheme="minorHAnsi" w:cstheme="minorHAnsi"/>
          <w:sz w:val="20"/>
          <w:szCs w:val="20"/>
        </w:rPr>
        <w:t xml:space="preserve">Change in </w:t>
      </w:r>
      <w:r w:rsidR="00C7404F" w:rsidRPr="00E5019D">
        <w:rPr>
          <w:rFonts w:asciiTheme="minorHAnsi" w:hAnsiTheme="minorHAnsi" w:cstheme="minorHAnsi"/>
          <w:sz w:val="20"/>
          <w:szCs w:val="20"/>
        </w:rPr>
        <w:t>Position Funding</w:t>
      </w:r>
    </w:p>
    <w:p w14:paraId="659E85DE" w14:textId="77777777" w:rsidR="00C7404F" w:rsidRPr="00E5019D" w:rsidRDefault="004F3332" w:rsidP="00B926D5">
      <w:pPr>
        <w:pStyle w:val="ListParagraph"/>
        <w:numPr>
          <w:ilvl w:val="1"/>
          <w:numId w:val="2"/>
        </w:numPr>
        <w:spacing w:line="240" w:lineRule="auto"/>
        <w:rPr>
          <w:rFonts w:asciiTheme="minorHAnsi" w:hAnsiTheme="minorHAnsi" w:cstheme="minorHAnsi"/>
          <w:sz w:val="20"/>
          <w:szCs w:val="20"/>
        </w:rPr>
      </w:pPr>
      <w:r w:rsidRPr="00E5019D">
        <w:rPr>
          <w:rFonts w:asciiTheme="minorHAnsi" w:hAnsiTheme="minorHAnsi" w:cstheme="minorHAnsi"/>
          <w:sz w:val="20"/>
          <w:szCs w:val="20"/>
        </w:rPr>
        <w:t xml:space="preserve">Comments should be entered for every </w:t>
      </w:r>
      <w:r w:rsidR="00C7404F" w:rsidRPr="00E5019D">
        <w:rPr>
          <w:rFonts w:asciiTheme="minorHAnsi" w:hAnsiTheme="minorHAnsi" w:cstheme="minorHAnsi"/>
          <w:sz w:val="20"/>
          <w:szCs w:val="20"/>
        </w:rPr>
        <w:t>Position Funding Change</w:t>
      </w:r>
      <w:r w:rsidRPr="00E5019D">
        <w:rPr>
          <w:rFonts w:asciiTheme="minorHAnsi" w:hAnsiTheme="minorHAnsi" w:cstheme="minorHAnsi"/>
          <w:sz w:val="20"/>
          <w:szCs w:val="20"/>
        </w:rPr>
        <w:t xml:space="preserve"> describing the action and purpose for audit purposes</w:t>
      </w:r>
      <w:r w:rsidR="00C7404F" w:rsidRPr="00E5019D">
        <w:rPr>
          <w:rFonts w:asciiTheme="minorHAnsi" w:hAnsiTheme="minorHAnsi" w:cstheme="minorHAnsi"/>
          <w:sz w:val="20"/>
          <w:szCs w:val="20"/>
        </w:rPr>
        <w:t xml:space="preserve">. </w:t>
      </w:r>
      <w:r w:rsidRPr="00E5019D">
        <w:rPr>
          <w:rFonts w:asciiTheme="minorHAnsi" w:hAnsiTheme="minorHAnsi" w:cstheme="minorHAnsi"/>
          <w:sz w:val="20"/>
          <w:szCs w:val="20"/>
        </w:rPr>
        <w:t xml:space="preserve">   </w:t>
      </w:r>
    </w:p>
    <w:p w14:paraId="56734E9E" w14:textId="77777777" w:rsidR="00E5019D" w:rsidRPr="00E5019D" w:rsidRDefault="002E1E21" w:rsidP="00B926D5">
      <w:pPr>
        <w:pStyle w:val="ListParagraph"/>
        <w:numPr>
          <w:ilvl w:val="1"/>
          <w:numId w:val="2"/>
        </w:numPr>
        <w:spacing w:line="240" w:lineRule="auto"/>
        <w:rPr>
          <w:rFonts w:asciiTheme="minorHAnsi" w:hAnsiTheme="minorHAnsi" w:cstheme="minorHAnsi"/>
          <w:sz w:val="20"/>
          <w:szCs w:val="20"/>
        </w:rPr>
      </w:pPr>
      <w:r w:rsidRPr="00E5019D">
        <w:rPr>
          <w:rFonts w:asciiTheme="minorHAnsi" w:hAnsiTheme="minorHAnsi" w:cstheme="minorHAnsi"/>
          <w:sz w:val="20"/>
          <w:szCs w:val="20"/>
        </w:rPr>
        <w:lastRenderedPageBreak/>
        <w:t xml:space="preserve">Best practice is to add position funding at the creation of the position, prior to </w:t>
      </w:r>
      <w:r w:rsidR="00097FD0" w:rsidRPr="00E5019D">
        <w:rPr>
          <w:rFonts w:asciiTheme="minorHAnsi" w:hAnsiTheme="minorHAnsi" w:cstheme="minorHAnsi"/>
          <w:sz w:val="20"/>
          <w:szCs w:val="20"/>
        </w:rPr>
        <w:t>any hiring action</w:t>
      </w:r>
    </w:p>
    <w:p w14:paraId="709FEA76" w14:textId="77777777" w:rsidR="00E5019D" w:rsidRPr="00E5019D" w:rsidRDefault="00E5019D" w:rsidP="00B926D5">
      <w:pPr>
        <w:pStyle w:val="ListParagraph"/>
        <w:numPr>
          <w:ilvl w:val="1"/>
          <w:numId w:val="1"/>
        </w:numPr>
        <w:spacing w:line="240" w:lineRule="auto"/>
        <w:ind w:left="1080"/>
        <w:rPr>
          <w:rFonts w:asciiTheme="minorHAnsi" w:hAnsiTheme="minorHAnsi" w:cstheme="minorHAnsi"/>
          <w:sz w:val="20"/>
          <w:szCs w:val="20"/>
        </w:rPr>
      </w:pPr>
      <w:r w:rsidRPr="00E5019D">
        <w:rPr>
          <w:rFonts w:asciiTheme="minorHAnsi" w:hAnsiTheme="minorHAnsi" w:cstheme="minorHAnsi"/>
          <w:sz w:val="20"/>
          <w:szCs w:val="20"/>
        </w:rPr>
        <w:t>Terminations</w:t>
      </w:r>
    </w:p>
    <w:p w14:paraId="2A293454" w14:textId="30FA2E45" w:rsidR="00E5019D" w:rsidRDefault="00E5019D" w:rsidP="3432577B">
      <w:pPr>
        <w:pStyle w:val="ListParagraph"/>
        <w:numPr>
          <w:ilvl w:val="2"/>
          <w:numId w:val="1"/>
        </w:numPr>
        <w:spacing w:line="240" w:lineRule="auto"/>
        <w:ind w:left="1530"/>
        <w:rPr>
          <w:rFonts w:asciiTheme="minorHAnsi" w:hAnsiTheme="minorHAnsi"/>
          <w:sz w:val="20"/>
          <w:szCs w:val="20"/>
        </w:rPr>
      </w:pPr>
      <w:r w:rsidRPr="3432577B">
        <w:rPr>
          <w:rFonts w:asciiTheme="minorHAnsi" w:hAnsiTheme="minorHAnsi"/>
          <w:sz w:val="20"/>
          <w:szCs w:val="20"/>
        </w:rPr>
        <w:t>Terminations should be submitted prior to employee’s last day</w:t>
      </w:r>
      <w:r w:rsidR="003A352D">
        <w:rPr>
          <w:rFonts w:asciiTheme="minorHAnsi" w:hAnsiTheme="minorHAnsi"/>
          <w:sz w:val="20"/>
          <w:szCs w:val="20"/>
        </w:rPr>
        <w:t>. Best practice is submission</w:t>
      </w:r>
      <w:r w:rsidR="1B95F934" w:rsidRPr="3432577B">
        <w:rPr>
          <w:rFonts w:asciiTheme="minorHAnsi" w:hAnsiTheme="minorHAnsi"/>
          <w:sz w:val="20"/>
          <w:szCs w:val="20"/>
        </w:rPr>
        <w:t xml:space="preserve"> </w:t>
      </w:r>
      <w:r w:rsidR="1B95F934" w:rsidRPr="003A352D">
        <w:rPr>
          <w:rFonts w:asciiTheme="minorHAnsi" w:hAnsiTheme="minorHAnsi"/>
          <w:sz w:val="20"/>
          <w:szCs w:val="20"/>
        </w:rPr>
        <w:t>within 2 business days of receiving letter of resignation</w:t>
      </w:r>
      <w:r w:rsidRPr="003A352D">
        <w:rPr>
          <w:rFonts w:asciiTheme="minorHAnsi" w:hAnsiTheme="minorHAnsi"/>
          <w:sz w:val="20"/>
          <w:szCs w:val="20"/>
        </w:rPr>
        <w:t>.</w:t>
      </w:r>
    </w:p>
    <w:p w14:paraId="08CDCF75" w14:textId="494B1DDC" w:rsidR="00254C43" w:rsidRPr="00E5019D" w:rsidRDefault="00254C43" w:rsidP="3432577B">
      <w:pPr>
        <w:pStyle w:val="ListParagraph"/>
        <w:numPr>
          <w:ilvl w:val="2"/>
          <w:numId w:val="1"/>
        </w:numPr>
        <w:spacing w:line="240" w:lineRule="auto"/>
        <w:ind w:left="1530"/>
        <w:rPr>
          <w:rFonts w:asciiTheme="minorHAnsi" w:hAnsiTheme="minorHAnsi"/>
          <w:sz w:val="20"/>
          <w:szCs w:val="20"/>
        </w:rPr>
      </w:pPr>
      <w:r>
        <w:rPr>
          <w:rFonts w:asciiTheme="minorHAnsi" w:hAnsiTheme="minorHAnsi"/>
          <w:sz w:val="20"/>
          <w:szCs w:val="20"/>
        </w:rPr>
        <w:t xml:space="preserve">When a line-item position with hard funding (Funds 10000, 10500, 11300, 11310, 11500, 11510) is terminated, ABO will process a Change Position Funding to place the position on the College’s holding account until the position is refilled and the department reassigns funding per approved funding split on Request to Fill. </w:t>
      </w:r>
    </w:p>
    <w:p w14:paraId="629CC98B" w14:textId="77777777" w:rsidR="00C7404F" w:rsidRPr="00E5019D" w:rsidRDefault="00C7404F" w:rsidP="00B926D5">
      <w:pPr>
        <w:pStyle w:val="ListParagraph"/>
        <w:numPr>
          <w:ilvl w:val="0"/>
          <w:numId w:val="1"/>
        </w:numPr>
        <w:spacing w:line="240" w:lineRule="auto"/>
        <w:ind w:left="360"/>
        <w:rPr>
          <w:rFonts w:asciiTheme="minorHAnsi" w:hAnsiTheme="minorHAnsi" w:cstheme="minorHAnsi"/>
          <w:b/>
          <w:sz w:val="22"/>
          <w:szCs w:val="22"/>
        </w:rPr>
      </w:pPr>
      <w:r w:rsidRPr="00E5019D">
        <w:rPr>
          <w:rFonts w:asciiTheme="minorHAnsi" w:hAnsiTheme="minorHAnsi" w:cstheme="minorHAnsi"/>
          <w:b/>
          <w:sz w:val="22"/>
          <w:szCs w:val="22"/>
        </w:rPr>
        <w:t xml:space="preserve">Balancing </w:t>
      </w:r>
    </w:p>
    <w:p w14:paraId="3AF5B382" w14:textId="77777777" w:rsidR="00C7404F" w:rsidRPr="00E5019D" w:rsidRDefault="00C7404F" w:rsidP="00B926D5">
      <w:pPr>
        <w:pStyle w:val="ListParagraph"/>
        <w:numPr>
          <w:ilvl w:val="1"/>
          <w:numId w:val="1"/>
        </w:numPr>
        <w:spacing w:line="240" w:lineRule="auto"/>
        <w:ind w:left="1080"/>
        <w:rPr>
          <w:rFonts w:asciiTheme="minorHAnsi" w:hAnsiTheme="minorHAnsi" w:cstheme="minorHAnsi"/>
          <w:sz w:val="20"/>
          <w:szCs w:val="20"/>
        </w:rPr>
      </w:pPr>
      <w:r w:rsidRPr="00E5019D">
        <w:rPr>
          <w:rFonts w:asciiTheme="minorHAnsi" w:hAnsiTheme="minorHAnsi" w:cstheme="minorHAnsi"/>
          <w:sz w:val="20"/>
          <w:szCs w:val="20"/>
        </w:rPr>
        <w:t>All personal services account codes must be balanced monthly</w:t>
      </w:r>
      <w:r w:rsidR="006B4CFC" w:rsidRPr="00E5019D">
        <w:rPr>
          <w:rFonts w:asciiTheme="minorHAnsi" w:hAnsiTheme="minorHAnsi" w:cstheme="minorHAnsi"/>
          <w:sz w:val="20"/>
          <w:szCs w:val="20"/>
        </w:rPr>
        <w:t xml:space="preserve"> within the chart string</w:t>
      </w:r>
    </w:p>
    <w:p w14:paraId="17657E64" w14:textId="77777777" w:rsidR="00C7404F" w:rsidRPr="00E5019D" w:rsidRDefault="00C7404F" w:rsidP="00B926D5">
      <w:pPr>
        <w:pStyle w:val="ListParagraph"/>
        <w:numPr>
          <w:ilvl w:val="1"/>
          <w:numId w:val="1"/>
        </w:numPr>
        <w:spacing w:line="240" w:lineRule="auto"/>
        <w:ind w:left="1080"/>
        <w:rPr>
          <w:rFonts w:asciiTheme="minorHAnsi" w:hAnsiTheme="minorHAnsi" w:cstheme="minorHAnsi"/>
          <w:sz w:val="20"/>
          <w:szCs w:val="20"/>
        </w:rPr>
      </w:pPr>
      <w:r w:rsidRPr="00E5019D">
        <w:rPr>
          <w:rFonts w:asciiTheme="minorHAnsi" w:hAnsiTheme="minorHAnsi" w:cstheme="minorHAnsi"/>
          <w:sz w:val="20"/>
          <w:szCs w:val="20"/>
        </w:rPr>
        <w:t xml:space="preserve">ABO will process budget transfers </w:t>
      </w:r>
      <w:r w:rsidR="006B4CFC" w:rsidRPr="00E5019D">
        <w:rPr>
          <w:rFonts w:asciiTheme="minorHAnsi" w:hAnsiTheme="minorHAnsi" w:cstheme="minorHAnsi"/>
          <w:sz w:val="20"/>
          <w:szCs w:val="20"/>
        </w:rPr>
        <w:t xml:space="preserve">weekly </w:t>
      </w:r>
      <w:r w:rsidRPr="00E5019D">
        <w:rPr>
          <w:rFonts w:asciiTheme="minorHAnsi" w:hAnsiTheme="minorHAnsi" w:cstheme="minorHAnsi"/>
          <w:sz w:val="20"/>
          <w:szCs w:val="20"/>
        </w:rPr>
        <w:t>for state funds for line item positions</w:t>
      </w:r>
      <w:r w:rsidR="006B4CFC" w:rsidRPr="00E5019D">
        <w:rPr>
          <w:rFonts w:asciiTheme="minorHAnsi" w:hAnsiTheme="minorHAnsi" w:cstheme="minorHAnsi"/>
          <w:sz w:val="20"/>
          <w:szCs w:val="20"/>
        </w:rPr>
        <w:t xml:space="preserve"> and leave payouts</w:t>
      </w:r>
    </w:p>
    <w:p w14:paraId="20A23CE8" w14:textId="4FBABE1B" w:rsidR="00C7404F" w:rsidRPr="00E5019D" w:rsidRDefault="00C7404F" w:rsidP="3432577B">
      <w:pPr>
        <w:spacing w:line="240" w:lineRule="auto"/>
        <w:ind w:left="1080" w:firstLine="360"/>
        <w:rPr>
          <w:rFonts w:asciiTheme="minorHAnsi" w:hAnsiTheme="minorHAnsi"/>
          <w:sz w:val="20"/>
          <w:szCs w:val="20"/>
        </w:rPr>
      </w:pPr>
      <w:r w:rsidRPr="3432577B">
        <w:rPr>
          <w:rFonts w:asciiTheme="minorHAnsi" w:hAnsiTheme="minorHAnsi"/>
          <w:sz w:val="20"/>
          <w:szCs w:val="20"/>
        </w:rPr>
        <w:t xml:space="preserve">i. These should be approved within </w:t>
      </w:r>
      <w:r w:rsidR="3AF2E0CE" w:rsidRPr="003A352D">
        <w:rPr>
          <w:rFonts w:asciiTheme="minorHAnsi" w:hAnsiTheme="minorHAnsi"/>
          <w:sz w:val="20"/>
          <w:szCs w:val="20"/>
        </w:rPr>
        <w:t>24</w:t>
      </w:r>
      <w:r w:rsidRPr="3432577B">
        <w:rPr>
          <w:rFonts w:asciiTheme="minorHAnsi" w:hAnsiTheme="minorHAnsi"/>
          <w:sz w:val="20"/>
          <w:szCs w:val="20"/>
        </w:rPr>
        <w:t xml:space="preserve"> hours of submission</w:t>
      </w:r>
    </w:p>
    <w:p w14:paraId="000D7C9F" w14:textId="39437B4B" w:rsidR="00C7404F" w:rsidRPr="00E5019D" w:rsidRDefault="00C7404F" w:rsidP="3432577B">
      <w:pPr>
        <w:pStyle w:val="ListParagraph"/>
        <w:numPr>
          <w:ilvl w:val="1"/>
          <w:numId w:val="1"/>
        </w:numPr>
        <w:spacing w:line="240" w:lineRule="auto"/>
        <w:ind w:left="1080"/>
        <w:rPr>
          <w:rFonts w:asciiTheme="minorHAnsi" w:hAnsiTheme="minorHAnsi"/>
          <w:sz w:val="20"/>
          <w:szCs w:val="20"/>
        </w:rPr>
      </w:pPr>
      <w:r w:rsidRPr="3432577B">
        <w:rPr>
          <w:rFonts w:asciiTheme="minorHAnsi" w:hAnsiTheme="minorHAnsi"/>
          <w:sz w:val="20"/>
          <w:szCs w:val="20"/>
        </w:rPr>
        <w:t>Quarterly Amendment Review – follows UGA guidelines</w:t>
      </w:r>
      <w:r w:rsidR="203E4F50" w:rsidRPr="3432577B">
        <w:rPr>
          <w:rFonts w:asciiTheme="minorHAnsi" w:hAnsiTheme="minorHAnsi"/>
          <w:sz w:val="20"/>
          <w:szCs w:val="20"/>
        </w:rPr>
        <w:t xml:space="preserve">, </w:t>
      </w:r>
      <w:r w:rsidR="203E4F50" w:rsidRPr="003A352D">
        <w:rPr>
          <w:rFonts w:asciiTheme="minorHAnsi" w:hAnsiTheme="minorHAnsi"/>
          <w:sz w:val="20"/>
          <w:szCs w:val="20"/>
        </w:rPr>
        <w:t>ABO will notify of any early deadlines</w:t>
      </w:r>
    </w:p>
    <w:p w14:paraId="0030964D" w14:textId="77777777" w:rsidR="00C7404F" w:rsidRPr="00E5019D" w:rsidRDefault="00C7404F" w:rsidP="00B926D5">
      <w:pPr>
        <w:pStyle w:val="ListParagraph"/>
        <w:numPr>
          <w:ilvl w:val="0"/>
          <w:numId w:val="1"/>
        </w:numPr>
        <w:spacing w:line="240" w:lineRule="auto"/>
        <w:ind w:left="360"/>
        <w:rPr>
          <w:rFonts w:asciiTheme="minorHAnsi" w:hAnsiTheme="minorHAnsi" w:cstheme="minorHAnsi"/>
          <w:b/>
          <w:sz w:val="22"/>
          <w:szCs w:val="22"/>
        </w:rPr>
      </w:pPr>
      <w:r w:rsidRPr="00E5019D">
        <w:rPr>
          <w:rFonts w:asciiTheme="minorHAnsi" w:hAnsiTheme="minorHAnsi" w:cstheme="minorHAnsi"/>
          <w:b/>
          <w:sz w:val="22"/>
          <w:szCs w:val="22"/>
        </w:rPr>
        <w:t>Reporting</w:t>
      </w:r>
    </w:p>
    <w:p w14:paraId="7AA294DC" w14:textId="77777777" w:rsidR="00097FD0" w:rsidRPr="00E5019D" w:rsidRDefault="00097FD0" w:rsidP="00B926D5">
      <w:pPr>
        <w:pStyle w:val="ListParagraph"/>
        <w:numPr>
          <w:ilvl w:val="1"/>
          <w:numId w:val="1"/>
        </w:numPr>
        <w:spacing w:line="240" w:lineRule="auto"/>
        <w:ind w:left="1080"/>
        <w:rPr>
          <w:rFonts w:asciiTheme="minorHAnsi" w:hAnsiTheme="minorHAnsi" w:cstheme="minorHAnsi"/>
          <w:sz w:val="20"/>
          <w:szCs w:val="20"/>
        </w:rPr>
      </w:pPr>
      <w:r w:rsidRPr="00E5019D">
        <w:rPr>
          <w:rFonts w:asciiTheme="minorHAnsi" w:hAnsiTheme="minorHAnsi" w:cstheme="minorHAnsi"/>
          <w:sz w:val="20"/>
          <w:szCs w:val="20"/>
        </w:rPr>
        <w:t>For specific reporting needs, please contact ABO directly for assistance</w:t>
      </w:r>
    </w:p>
    <w:p w14:paraId="0F379AA7" w14:textId="77777777" w:rsidR="002E1E21" w:rsidRPr="00B926D5" w:rsidRDefault="002E1E21" w:rsidP="00B926D5">
      <w:pPr>
        <w:pStyle w:val="ListParagraph"/>
        <w:numPr>
          <w:ilvl w:val="1"/>
          <w:numId w:val="1"/>
        </w:numPr>
        <w:spacing w:after="160" w:line="240" w:lineRule="auto"/>
        <w:ind w:left="1080"/>
        <w:rPr>
          <w:rFonts w:asciiTheme="minorHAnsi" w:hAnsiTheme="minorHAnsi" w:cstheme="minorHAnsi"/>
          <w:sz w:val="20"/>
          <w:szCs w:val="20"/>
        </w:rPr>
      </w:pPr>
      <w:r w:rsidRPr="00B926D5">
        <w:rPr>
          <w:rFonts w:asciiTheme="minorHAnsi" w:hAnsiTheme="minorHAnsi" w:cstheme="minorHAnsi"/>
          <w:sz w:val="20"/>
          <w:szCs w:val="20"/>
        </w:rPr>
        <w:t xml:space="preserve">The following table represents the reporting schedule from ABO to departments/units for awareness and action as appropriate: </w:t>
      </w:r>
    </w:p>
    <w:tbl>
      <w:tblPr>
        <w:tblStyle w:val="ListTable3-Accent3"/>
        <w:tblW w:w="10075" w:type="dxa"/>
        <w:tblLayout w:type="fixed"/>
        <w:tblLook w:val="04A0" w:firstRow="1" w:lastRow="0" w:firstColumn="1" w:lastColumn="0" w:noHBand="0" w:noVBand="1"/>
      </w:tblPr>
      <w:tblGrid>
        <w:gridCol w:w="1255"/>
        <w:gridCol w:w="1710"/>
        <w:gridCol w:w="2250"/>
        <w:gridCol w:w="2880"/>
        <w:gridCol w:w="1980"/>
      </w:tblGrid>
      <w:tr w:rsidR="002E1E21" w:rsidRPr="00E5019D" w14:paraId="6B5BB3AB" w14:textId="77777777" w:rsidTr="00722564">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1255" w:type="dxa"/>
            <w:tcBorders>
              <w:top w:val="single" w:sz="4" w:space="0" w:color="A5A5A5" w:themeColor="accent3"/>
              <w:bottom w:val="single" w:sz="4" w:space="0" w:color="A5A5A5" w:themeColor="accent3"/>
              <w:right w:val="single" w:sz="4" w:space="0" w:color="auto"/>
            </w:tcBorders>
          </w:tcPr>
          <w:p w14:paraId="6F35DBC6" w14:textId="77777777" w:rsidR="002E1E21" w:rsidRPr="00E5019D" w:rsidRDefault="002E1E21" w:rsidP="00B926D5">
            <w:pPr>
              <w:spacing w:line="240" w:lineRule="auto"/>
              <w:jc w:val="center"/>
              <w:rPr>
                <w:rFonts w:asciiTheme="minorHAnsi" w:hAnsiTheme="minorHAnsi" w:cstheme="minorHAnsi"/>
              </w:rPr>
            </w:pPr>
            <w:r w:rsidRPr="00E5019D">
              <w:rPr>
                <w:rFonts w:asciiTheme="minorHAnsi" w:hAnsiTheme="minorHAnsi" w:cstheme="minorHAnsi"/>
              </w:rPr>
              <w:t>Frequency</w:t>
            </w:r>
          </w:p>
        </w:tc>
        <w:tc>
          <w:tcPr>
            <w:tcW w:w="1710" w:type="dxa"/>
            <w:tcBorders>
              <w:top w:val="single" w:sz="4" w:space="0" w:color="A5A5A5" w:themeColor="accent3"/>
              <w:left w:val="single" w:sz="4" w:space="0" w:color="auto"/>
              <w:bottom w:val="single" w:sz="4" w:space="0" w:color="auto"/>
              <w:right w:val="single" w:sz="4" w:space="0" w:color="auto"/>
            </w:tcBorders>
          </w:tcPr>
          <w:p w14:paraId="7FFB29BE" w14:textId="77777777" w:rsidR="002E1E21" w:rsidRPr="00E5019D" w:rsidRDefault="002E1E21" w:rsidP="00B926D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5019D">
              <w:rPr>
                <w:rFonts w:asciiTheme="minorHAnsi" w:hAnsiTheme="minorHAnsi" w:cstheme="minorHAnsi"/>
              </w:rPr>
              <w:t>Weekly</w:t>
            </w:r>
          </w:p>
        </w:tc>
        <w:tc>
          <w:tcPr>
            <w:tcW w:w="2250" w:type="dxa"/>
            <w:tcBorders>
              <w:top w:val="single" w:sz="4" w:space="0" w:color="A5A5A5" w:themeColor="accent3"/>
              <w:left w:val="single" w:sz="4" w:space="0" w:color="auto"/>
              <w:bottom w:val="single" w:sz="4" w:space="0" w:color="auto"/>
              <w:right w:val="single" w:sz="4" w:space="0" w:color="auto"/>
            </w:tcBorders>
          </w:tcPr>
          <w:p w14:paraId="15520478" w14:textId="77777777" w:rsidR="002E1E21" w:rsidRPr="00E5019D" w:rsidRDefault="002E1E21" w:rsidP="00B926D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5019D">
              <w:rPr>
                <w:rFonts w:asciiTheme="minorHAnsi" w:hAnsiTheme="minorHAnsi" w:cstheme="minorHAnsi"/>
              </w:rPr>
              <w:t>Bi-Weekly</w:t>
            </w:r>
          </w:p>
        </w:tc>
        <w:tc>
          <w:tcPr>
            <w:tcW w:w="2880" w:type="dxa"/>
            <w:tcBorders>
              <w:top w:val="single" w:sz="4" w:space="0" w:color="A5A5A5" w:themeColor="accent3"/>
              <w:left w:val="single" w:sz="4" w:space="0" w:color="auto"/>
              <w:bottom w:val="single" w:sz="4" w:space="0" w:color="auto"/>
              <w:right w:val="single" w:sz="4" w:space="0" w:color="auto"/>
            </w:tcBorders>
          </w:tcPr>
          <w:p w14:paraId="4928A1B3" w14:textId="77777777" w:rsidR="002E1E21" w:rsidRPr="00E5019D" w:rsidRDefault="002E1E21" w:rsidP="00B926D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5019D">
              <w:rPr>
                <w:rFonts w:asciiTheme="minorHAnsi" w:hAnsiTheme="minorHAnsi" w:cstheme="minorHAnsi"/>
              </w:rPr>
              <w:t>Monthly</w:t>
            </w:r>
          </w:p>
        </w:tc>
        <w:tc>
          <w:tcPr>
            <w:tcW w:w="1980" w:type="dxa"/>
            <w:tcBorders>
              <w:top w:val="single" w:sz="4" w:space="0" w:color="A5A5A5" w:themeColor="accent3"/>
              <w:left w:val="single" w:sz="4" w:space="0" w:color="auto"/>
              <w:bottom w:val="single" w:sz="4" w:space="0" w:color="auto"/>
              <w:right w:val="single" w:sz="4" w:space="0" w:color="auto"/>
            </w:tcBorders>
          </w:tcPr>
          <w:p w14:paraId="2F7AF8B3" w14:textId="77777777" w:rsidR="002E1E21" w:rsidRPr="00E5019D" w:rsidRDefault="002E1E21" w:rsidP="00B926D5">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5019D">
              <w:rPr>
                <w:rFonts w:asciiTheme="minorHAnsi" w:hAnsiTheme="minorHAnsi" w:cstheme="minorHAnsi"/>
              </w:rPr>
              <w:t>Quarterly</w:t>
            </w:r>
          </w:p>
        </w:tc>
      </w:tr>
      <w:tr w:rsidR="002E1E21" w:rsidRPr="00E5019D" w14:paraId="48242806" w14:textId="77777777" w:rsidTr="00722564">
        <w:trPr>
          <w:cnfStyle w:val="000000100000" w:firstRow="0" w:lastRow="0" w:firstColumn="0" w:lastColumn="0" w:oddVBand="0" w:evenVBand="0" w:oddHBand="1" w:evenHBand="0" w:firstRowFirstColumn="0" w:firstRowLastColumn="0" w:lastRowFirstColumn="0" w:lastRowLastColumn="0"/>
          <w:trHeight w:val="2870"/>
        </w:trPr>
        <w:tc>
          <w:tcPr>
            <w:cnfStyle w:val="001000000000" w:firstRow="0" w:lastRow="0" w:firstColumn="1" w:lastColumn="0" w:oddVBand="0" w:evenVBand="0" w:oddHBand="0" w:evenHBand="0" w:firstRowFirstColumn="0" w:firstRowLastColumn="0" w:lastRowFirstColumn="0" w:lastRowLastColumn="0"/>
            <w:tcW w:w="1255" w:type="dxa"/>
            <w:tcBorders>
              <w:right w:val="single" w:sz="4" w:space="0" w:color="auto"/>
            </w:tcBorders>
          </w:tcPr>
          <w:p w14:paraId="441E9EBF" w14:textId="77777777" w:rsidR="002E1E21" w:rsidRPr="00E5019D" w:rsidRDefault="002E1E21" w:rsidP="00B926D5">
            <w:pPr>
              <w:spacing w:line="240" w:lineRule="auto"/>
              <w:jc w:val="center"/>
              <w:rPr>
                <w:rFonts w:asciiTheme="minorHAnsi" w:hAnsiTheme="minorHAnsi" w:cstheme="minorHAnsi"/>
              </w:rPr>
            </w:pPr>
            <w:r w:rsidRPr="00E5019D">
              <w:rPr>
                <w:rFonts w:asciiTheme="minorHAnsi" w:hAnsiTheme="minorHAnsi" w:cstheme="minorHAnsi"/>
              </w:rPr>
              <w:t>Report Type</w:t>
            </w:r>
          </w:p>
        </w:tc>
        <w:tc>
          <w:tcPr>
            <w:tcW w:w="1710" w:type="dxa"/>
            <w:tcBorders>
              <w:top w:val="single" w:sz="4" w:space="0" w:color="auto"/>
              <w:left w:val="single" w:sz="4" w:space="0" w:color="auto"/>
              <w:bottom w:val="single" w:sz="4" w:space="0" w:color="auto"/>
              <w:right w:val="single" w:sz="4" w:space="0" w:color="auto"/>
            </w:tcBorders>
          </w:tcPr>
          <w:p w14:paraId="4EE55AD8" w14:textId="77777777" w:rsidR="002E1E21" w:rsidRPr="00E5019D" w:rsidRDefault="002E1E21" w:rsidP="00B926D5">
            <w:pPr>
              <w:pStyle w:val="ListParagraph"/>
              <w:numPr>
                <w:ilvl w:val="0"/>
                <w:numId w:val="4"/>
              </w:numPr>
              <w:spacing w:line="240" w:lineRule="auto"/>
              <w:ind w:left="248" w:hanging="2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5019D">
              <w:rPr>
                <w:rFonts w:asciiTheme="minorHAnsi" w:hAnsiTheme="minorHAnsi" w:cstheme="minorHAnsi"/>
              </w:rPr>
              <w:t>Budget Transfers</w:t>
            </w:r>
          </w:p>
          <w:p w14:paraId="6F89247A" w14:textId="77777777" w:rsidR="002E1E21" w:rsidRPr="00E5019D" w:rsidRDefault="002E1E21" w:rsidP="00B926D5">
            <w:pPr>
              <w:pStyle w:val="ListParagraph"/>
              <w:numPr>
                <w:ilvl w:val="0"/>
                <w:numId w:val="4"/>
              </w:numPr>
              <w:spacing w:line="240" w:lineRule="auto"/>
              <w:ind w:left="248" w:hanging="2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5019D">
              <w:rPr>
                <w:rFonts w:asciiTheme="minorHAnsi" w:hAnsiTheme="minorHAnsi" w:cstheme="minorHAnsi"/>
              </w:rPr>
              <w:t>Invalid Funding</w:t>
            </w:r>
          </w:p>
          <w:p w14:paraId="34178AEA" w14:textId="77777777" w:rsidR="002E1E21" w:rsidRPr="00E5019D" w:rsidRDefault="002E1E21" w:rsidP="00B926D5">
            <w:pPr>
              <w:pStyle w:val="ListParagraph"/>
              <w:numPr>
                <w:ilvl w:val="0"/>
                <w:numId w:val="4"/>
              </w:numPr>
              <w:spacing w:line="240" w:lineRule="auto"/>
              <w:ind w:left="248" w:hanging="2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5019D">
              <w:rPr>
                <w:rFonts w:asciiTheme="minorHAnsi" w:hAnsiTheme="minorHAnsi" w:cstheme="minorHAnsi"/>
              </w:rPr>
              <w:t>Employees on suspense</w:t>
            </w:r>
            <w:r w:rsidRPr="00E5019D">
              <w:rPr>
                <w:rFonts w:asciiTheme="minorHAnsi" w:hAnsiTheme="minorHAnsi" w:cstheme="minorHAnsi"/>
              </w:rPr>
              <w:br/>
            </w:r>
          </w:p>
        </w:tc>
        <w:tc>
          <w:tcPr>
            <w:tcW w:w="2250" w:type="dxa"/>
            <w:tcBorders>
              <w:top w:val="single" w:sz="4" w:space="0" w:color="auto"/>
              <w:left w:val="single" w:sz="4" w:space="0" w:color="auto"/>
              <w:bottom w:val="single" w:sz="4" w:space="0" w:color="auto"/>
              <w:right w:val="single" w:sz="4" w:space="0" w:color="auto"/>
            </w:tcBorders>
          </w:tcPr>
          <w:p w14:paraId="22414688" w14:textId="77777777" w:rsidR="002E1E21" w:rsidRPr="00E5019D" w:rsidRDefault="002E1E21" w:rsidP="00B926D5">
            <w:pPr>
              <w:pStyle w:val="ListParagraph"/>
              <w:numPr>
                <w:ilvl w:val="0"/>
                <w:numId w:val="4"/>
              </w:numPr>
              <w:spacing w:line="240" w:lineRule="auto"/>
              <w:ind w:left="249" w:hanging="20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5019D">
              <w:rPr>
                <w:rFonts w:asciiTheme="minorHAnsi" w:hAnsiTheme="minorHAnsi" w:cstheme="minorHAnsi"/>
              </w:rPr>
              <w:t>TL Approvers Review</w:t>
            </w:r>
          </w:p>
          <w:p w14:paraId="29F67CE1" w14:textId="77777777" w:rsidR="002E1E21" w:rsidRPr="00E5019D" w:rsidRDefault="002E1E21" w:rsidP="00B926D5">
            <w:pPr>
              <w:pStyle w:val="ListParagraph"/>
              <w:numPr>
                <w:ilvl w:val="0"/>
                <w:numId w:val="4"/>
              </w:numPr>
              <w:spacing w:line="240" w:lineRule="auto"/>
              <w:ind w:left="249" w:hanging="20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5019D">
              <w:rPr>
                <w:rFonts w:asciiTheme="minorHAnsi" w:hAnsiTheme="minorHAnsi" w:cstheme="minorHAnsi"/>
              </w:rPr>
              <w:t>TL Compliance</w:t>
            </w:r>
          </w:p>
          <w:p w14:paraId="051D08F7" w14:textId="77777777" w:rsidR="002E1E21" w:rsidRPr="00E5019D" w:rsidRDefault="002E1E21" w:rsidP="00B926D5">
            <w:pPr>
              <w:pStyle w:val="ListParagraph"/>
              <w:numPr>
                <w:ilvl w:val="0"/>
                <w:numId w:val="4"/>
              </w:numPr>
              <w:spacing w:line="240" w:lineRule="auto"/>
              <w:ind w:left="249" w:hanging="20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5019D">
              <w:rPr>
                <w:rFonts w:asciiTheme="minorHAnsi" w:hAnsiTheme="minorHAnsi" w:cstheme="minorHAnsi"/>
              </w:rPr>
              <w:t>Employees on Holding Account</w:t>
            </w:r>
          </w:p>
          <w:p w14:paraId="5CB5CB66" w14:textId="77777777" w:rsidR="002E1E21" w:rsidRPr="00E5019D" w:rsidRDefault="002E1E21" w:rsidP="00B926D5">
            <w:pPr>
              <w:pStyle w:val="ListParagraph"/>
              <w:numPr>
                <w:ilvl w:val="0"/>
                <w:numId w:val="4"/>
              </w:numPr>
              <w:spacing w:line="240" w:lineRule="auto"/>
              <w:ind w:left="249" w:hanging="20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5019D">
              <w:rPr>
                <w:rFonts w:asciiTheme="minorHAnsi" w:hAnsiTheme="minorHAnsi" w:cstheme="minorHAnsi"/>
              </w:rPr>
              <w:t>Employees with no reported time</w:t>
            </w:r>
          </w:p>
          <w:p w14:paraId="709B1536" w14:textId="77777777" w:rsidR="002E1E21" w:rsidRPr="00E5019D" w:rsidRDefault="002E1E21" w:rsidP="00B926D5">
            <w:pPr>
              <w:pStyle w:val="ListParagraph"/>
              <w:numPr>
                <w:ilvl w:val="0"/>
                <w:numId w:val="4"/>
              </w:numPr>
              <w:spacing w:line="240" w:lineRule="auto"/>
              <w:ind w:left="249" w:hanging="20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5019D">
              <w:rPr>
                <w:rFonts w:asciiTheme="minorHAnsi" w:hAnsiTheme="minorHAnsi" w:cstheme="minorHAnsi"/>
              </w:rPr>
              <w:t>Missed punches</w:t>
            </w:r>
          </w:p>
          <w:p w14:paraId="1A224895" w14:textId="77777777" w:rsidR="002E1E21" w:rsidRPr="00E5019D" w:rsidRDefault="002E1E21" w:rsidP="00B926D5">
            <w:pPr>
              <w:pStyle w:val="ListParagraph"/>
              <w:numPr>
                <w:ilvl w:val="0"/>
                <w:numId w:val="4"/>
              </w:numPr>
              <w:spacing w:line="240" w:lineRule="auto"/>
              <w:ind w:left="249" w:hanging="20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5019D">
              <w:rPr>
                <w:rFonts w:asciiTheme="minorHAnsi" w:hAnsiTheme="minorHAnsi" w:cstheme="minorHAnsi"/>
              </w:rPr>
              <w:t xml:space="preserve">Unpaid absences </w:t>
            </w:r>
          </w:p>
        </w:tc>
        <w:tc>
          <w:tcPr>
            <w:tcW w:w="2880" w:type="dxa"/>
            <w:tcBorders>
              <w:top w:val="single" w:sz="4" w:space="0" w:color="auto"/>
              <w:left w:val="single" w:sz="4" w:space="0" w:color="auto"/>
              <w:bottom w:val="single" w:sz="4" w:space="0" w:color="auto"/>
              <w:right w:val="single" w:sz="4" w:space="0" w:color="auto"/>
            </w:tcBorders>
          </w:tcPr>
          <w:p w14:paraId="534BC147" w14:textId="77777777" w:rsidR="002E1E21" w:rsidRPr="00E5019D" w:rsidRDefault="002E1E21" w:rsidP="00B926D5">
            <w:pPr>
              <w:pStyle w:val="ListParagraph"/>
              <w:numPr>
                <w:ilvl w:val="0"/>
                <w:numId w:val="4"/>
              </w:numPr>
              <w:spacing w:line="240" w:lineRule="auto"/>
              <w:ind w:left="342" w:hanging="2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5019D">
              <w:rPr>
                <w:rFonts w:asciiTheme="minorHAnsi" w:hAnsiTheme="minorHAnsi" w:cstheme="minorHAnsi"/>
              </w:rPr>
              <w:t>Pending Budgets</w:t>
            </w:r>
          </w:p>
          <w:p w14:paraId="583AE936" w14:textId="77777777" w:rsidR="002E1E21" w:rsidRPr="00E5019D" w:rsidRDefault="002E1E21" w:rsidP="00B926D5">
            <w:pPr>
              <w:pStyle w:val="ListParagraph"/>
              <w:numPr>
                <w:ilvl w:val="0"/>
                <w:numId w:val="4"/>
              </w:numPr>
              <w:spacing w:line="240" w:lineRule="auto"/>
              <w:ind w:left="342" w:hanging="2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5019D">
              <w:rPr>
                <w:rFonts w:asciiTheme="minorHAnsi" w:hAnsiTheme="minorHAnsi" w:cstheme="minorHAnsi"/>
              </w:rPr>
              <w:t>GL Journals</w:t>
            </w:r>
          </w:p>
          <w:p w14:paraId="0D4C0537" w14:textId="77777777" w:rsidR="002E1E21" w:rsidRPr="00E5019D" w:rsidRDefault="002E1E21" w:rsidP="00B926D5">
            <w:pPr>
              <w:pStyle w:val="ListParagraph"/>
              <w:numPr>
                <w:ilvl w:val="0"/>
                <w:numId w:val="4"/>
              </w:numPr>
              <w:spacing w:line="240" w:lineRule="auto"/>
              <w:ind w:left="342" w:hanging="2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5019D">
              <w:rPr>
                <w:rFonts w:asciiTheme="minorHAnsi" w:hAnsiTheme="minorHAnsi" w:cstheme="minorHAnsi"/>
              </w:rPr>
              <w:t>Additional Straight Time and Overtime</w:t>
            </w:r>
          </w:p>
          <w:p w14:paraId="78993068" w14:textId="77777777" w:rsidR="002E1E21" w:rsidRPr="00E5019D" w:rsidRDefault="002E1E21" w:rsidP="00B926D5">
            <w:pPr>
              <w:pStyle w:val="ListParagraph"/>
              <w:numPr>
                <w:ilvl w:val="0"/>
                <w:numId w:val="4"/>
              </w:numPr>
              <w:spacing w:line="240" w:lineRule="auto"/>
              <w:ind w:left="342" w:hanging="2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5019D">
              <w:rPr>
                <w:rFonts w:asciiTheme="minorHAnsi" w:hAnsiTheme="minorHAnsi" w:cstheme="minorHAnsi"/>
              </w:rPr>
              <w:t>Grads, Hourly, &amp; Students</w:t>
            </w:r>
          </w:p>
          <w:p w14:paraId="38F55528" w14:textId="77777777" w:rsidR="002E1E21" w:rsidRPr="00E5019D" w:rsidRDefault="002E1E21" w:rsidP="00B926D5">
            <w:pPr>
              <w:pStyle w:val="ListParagraph"/>
              <w:numPr>
                <w:ilvl w:val="0"/>
                <w:numId w:val="4"/>
              </w:numPr>
              <w:spacing w:line="240" w:lineRule="auto"/>
              <w:ind w:left="342" w:hanging="2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5019D">
              <w:rPr>
                <w:rFonts w:asciiTheme="minorHAnsi" w:hAnsiTheme="minorHAnsi" w:cstheme="minorHAnsi"/>
              </w:rPr>
              <w:t>DSS Leave Payout and Salary Encumbrances</w:t>
            </w:r>
          </w:p>
          <w:p w14:paraId="3CA179EC" w14:textId="77777777" w:rsidR="002E1E21" w:rsidRPr="00E5019D" w:rsidRDefault="002E1E21" w:rsidP="00B926D5">
            <w:pPr>
              <w:pStyle w:val="ListParagraph"/>
              <w:numPr>
                <w:ilvl w:val="0"/>
                <w:numId w:val="4"/>
              </w:numPr>
              <w:spacing w:line="240" w:lineRule="auto"/>
              <w:ind w:left="342" w:hanging="2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5019D">
              <w:rPr>
                <w:rFonts w:asciiTheme="minorHAnsi" w:hAnsiTheme="minorHAnsi" w:cstheme="minorHAnsi"/>
              </w:rPr>
              <w:t>Summer Salary &amp; Part-Time Faculty (when applicable)</w:t>
            </w:r>
          </w:p>
          <w:p w14:paraId="1B5A58FD" w14:textId="77777777" w:rsidR="002E1E21" w:rsidRPr="00E5019D" w:rsidRDefault="002E1E21" w:rsidP="00B926D5">
            <w:pPr>
              <w:pStyle w:val="ListParagraph"/>
              <w:numPr>
                <w:ilvl w:val="0"/>
                <w:numId w:val="4"/>
              </w:numPr>
              <w:spacing w:line="240" w:lineRule="auto"/>
              <w:ind w:left="342" w:hanging="2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5019D">
              <w:rPr>
                <w:rFonts w:asciiTheme="minorHAnsi" w:hAnsiTheme="minorHAnsi" w:cstheme="minorHAnsi"/>
              </w:rPr>
              <w:t>Grants ending within 90 days</w:t>
            </w:r>
          </w:p>
          <w:p w14:paraId="0E761873" w14:textId="77777777" w:rsidR="002E1E21" w:rsidRPr="00E5019D" w:rsidRDefault="002E1E21" w:rsidP="00B926D5">
            <w:pPr>
              <w:pStyle w:val="ListParagraph"/>
              <w:numPr>
                <w:ilvl w:val="0"/>
                <w:numId w:val="4"/>
              </w:numPr>
              <w:spacing w:line="240" w:lineRule="auto"/>
              <w:ind w:left="342" w:hanging="2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5019D">
              <w:rPr>
                <w:rFonts w:asciiTheme="minorHAnsi" w:hAnsiTheme="minorHAnsi" w:cstheme="minorHAnsi"/>
              </w:rPr>
              <w:t>Grants ending in 6 months with high remaining balances</w:t>
            </w:r>
          </w:p>
        </w:tc>
        <w:tc>
          <w:tcPr>
            <w:tcW w:w="1980" w:type="dxa"/>
            <w:tcBorders>
              <w:top w:val="single" w:sz="4" w:space="0" w:color="auto"/>
              <w:left w:val="single" w:sz="4" w:space="0" w:color="auto"/>
              <w:bottom w:val="single" w:sz="4" w:space="0" w:color="auto"/>
              <w:right w:val="single" w:sz="4" w:space="0" w:color="auto"/>
            </w:tcBorders>
          </w:tcPr>
          <w:p w14:paraId="24F90B47" w14:textId="77777777" w:rsidR="002E1E21" w:rsidRPr="00E5019D" w:rsidRDefault="002E1E21" w:rsidP="00B926D5">
            <w:pPr>
              <w:pStyle w:val="ListParagraph"/>
              <w:numPr>
                <w:ilvl w:val="0"/>
                <w:numId w:val="4"/>
              </w:numPr>
              <w:spacing w:line="240" w:lineRule="auto"/>
              <w:ind w:left="254" w:hanging="2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5019D">
              <w:rPr>
                <w:rFonts w:asciiTheme="minorHAnsi" w:hAnsiTheme="minorHAnsi" w:cstheme="minorHAnsi"/>
              </w:rPr>
              <w:t>Quarterly Amendment Review</w:t>
            </w:r>
          </w:p>
          <w:p w14:paraId="52A58F6E" w14:textId="77777777" w:rsidR="002E1E21" w:rsidRPr="00E5019D" w:rsidRDefault="002E1E21" w:rsidP="00B926D5">
            <w:pPr>
              <w:pStyle w:val="ListParagraph"/>
              <w:numPr>
                <w:ilvl w:val="0"/>
                <w:numId w:val="4"/>
              </w:numPr>
              <w:spacing w:line="240" w:lineRule="auto"/>
              <w:ind w:left="254" w:hanging="2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5019D">
              <w:rPr>
                <w:rFonts w:asciiTheme="minorHAnsi" w:hAnsiTheme="minorHAnsi" w:cstheme="minorHAnsi"/>
              </w:rPr>
              <w:t>Outstanding POs</w:t>
            </w:r>
          </w:p>
        </w:tc>
      </w:tr>
    </w:tbl>
    <w:p w14:paraId="0A37501D" w14:textId="77777777" w:rsidR="009D3E9E" w:rsidRDefault="009D3E9E" w:rsidP="00B926D5">
      <w:pPr>
        <w:spacing w:line="240" w:lineRule="auto"/>
        <w:ind w:left="720"/>
        <w:rPr>
          <w:rFonts w:asciiTheme="minorHAnsi" w:hAnsiTheme="minorHAnsi" w:cstheme="minorHAnsi"/>
          <w:b/>
          <w:sz w:val="22"/>
          <w:szCs w:val="22"/>
        </w:rPr>
      </w:pPr>
    </w:p>
    <w:p w14:paraId="4BC74C27" w14:textId="77777777" w:rsidR="009D3E9E" w:rsidRDefault="00E5019D" w:rsidP="00B926D5">
      <w:pPr>
        <w:pStyle w:val="ListParagraph"/>
        <w:numPr>
          <w:ilvl w:val="0"/>
          <w:numId w:val="1"/>
        </w:numPr>
        <w:spacing w:line="240" w:lineRule="auto"/>
        <w:ind w:left="450"/>
        <w:rPr>
          <w:rFonts w:asciiTheme="minorHAnsi" w:hAnsiTheme="minorHAnsi" w:cstheme="minorHAnsi"/>
          <w:b/>
          <w:sz w:val="22"/>
          <w:szCs w:val="22"/>
        </w:rPr>
      </w:pPr>
      <w:r w:rsidRPr="009D3E9E">
        <w:rPr>
          <w:rFonts w:asciiTheme="minorHAnsi" w:hAnsiTheme="minorHAnsi" w:cstheme="minorHAnsi"/>
          <w:b/>
          <w:sz w:val="22"/>
          <w:szCs w:val="22"/>
        </w:rPr>
        <w:t>Accounting Standardizations</w:t>
      </w:r>
    </w:p>
    <w:p w14:paraId="02F5B1BA" w14:textId="77777777" w:rsidR="00B926D5" w:rsidRPr="00B926D5" w:rsidRDefault="00E5019D" w:rsidP="00B926D5">
      <w:pPr>
        <w:pStyle w:val="ListParagraph"/>
        <w:numPr>
          <w:ilvl w:val="1"/>
          <w:numId w:val="1"/>
        </w:numPr>
        <w:spacing w:line="240" w:lineRule="auto"/>
        <w:ind w:left="1080" w:hanging="270"/>
        <w:rPr>
          <w:rFonts w:asciiTheme="minorHAnsi" w:hAnsiTheme="minorHAnsi" w:cstheme="minorHAnsi"/>
          <w:b/>
          <w:sz w:val="22"/>
          <w:szCs w:val="22"/>
        </w:rPr>
      </w:pPr>
      <w:proofErr w:type="spellStart"/>
      <w:r w:rsidRPr="009D3E9E">
        <w:rPr>
          <w:rFonts w:asciiTheme="minorHAnsi" w:hAnsiTheme="minorHAnsi" w:cstheme="minorHAnsi"/>
          <w:sz w:val="22"/>
          <w:szCs w:val="22"/>
        </w:rPr>
        <w:t>Chartfield</w:t>
      </w:r>
      <w:proofErr w:type="spellEnd"/>
      <w:r w:rsidRPr="009D3E9E">
        <w:rPr>
          <w:rFonts w:asciiTheme="minorHAnsi" w:hAnsiTheme="minorHAnsi" w:cstheme="minorHAnsi"/>
          <w:sz w:val="22"/>
          <w:szCs w:val="22"/>
        </w:rPr>
        <w:t xml:space="preserve"> 1 will be used to track specific expenses for CAES</w:t>
      </w:r>
    </w:p>
    <w:p w14:paraId="3CF03AB9" w14:textId="5A35971B" w:rsidR="009D3E9E" w:rsidRPr="009D3E9E" w:rsidRDefault="002C6506" w:rsidP="00B926D5">
      <w:pPr>
        <w:pStyle w:val="ListParagraph"/>
        <w:numPr>
          <w:ilvl w:val="2"/>
          <w:numId w:val="1"/>
        </w:numPr>
        <w:spacing w:line="240" w:lineRule="auto"/>
        <w:ind w:left="1620"/>
        <w:rPr>
          <w:rFonts w:asciiTheme="minorHAnsi" w:hAnsiTheme="minorHAnsi" w:cstheme="minorHAnsi"/>
          <w:b/>
          <w:sz w:val="22"/>
          <w:szCs w:val="22"/>
        </w:rPr>
      </w:pPr>
      <w:r w:rsidRPr="009D3E9E">
        <w:rPr>
          <w:rFonts w:asciiTheme="minorHAnsi" w:hAnsiTheme="minorHAnsi" w:cstheme="minorHAnsi"/>
          <w:sz w:val="22"/>
          <w:szCs w:val="22"/>
        </w:rPr>
        <w:t>Start up through year five</w:t>
      </w:r>
      <w:r w:rsidR="00FD51B9">
        <w:rPr>
          <w:rFonts w:asciiTheme="minorHAnsi" w:hAnsiTheme="minorHAnsi" w:cstheme="minorHAnsi"/>
          <w:sz w:val="22"/>
          <w:szCs w:val="22"/>
        </w:rPr>
        <w:t xml:space="preserve"> – 17STARTUP</w:t>
      </w:r>
    </w:p>
    <w:p w14:paraId="11BCA87C" w14:textId="2D05AAAF" w:rsidR="009D3E9E" w:rsidRPr="009D3E9E" w:rsidRDefault="00FD51B9" w:rsidP="00B926D5">
      <w:pPr>
        <w:pStyle w:val="ListParagraph"/>
        <w:numPr>
          <w:ilvl w:val="3"/>
          <w:numId w:val="1"/>
        </w:numPr>
        <w:spacing w:line="240" w:lineRule="auto"/>
        <w:ind w:left="2160"/>
        <w:rPr>
          <w:rFonts w:asciiTheme="minorHAnsi" w:hAnsiTheme="minorHAnsi" w:cstheme="minorHAnsi"/>
          <w:b/>
          <w:sz w:val="22"/>
          <w:szCs w:val="22"/>
        </w:rPr>
      </w:pPr>
      <w:r>
        <w:rPr>
          <w:rFonts w:asciiTheme="minorHAnsi" w:hAnsiTheme="minorHAnsi" w:cstheme="minorHAnsi"/>
          <w:sz w:val="22"/>
          <w:szCs w:val="22"/>
        </w:rPr>
        <w:t>Use CF1</w:t>
      </w:r>
      <w:r w:rsidR="002C6506" w:rsidRPr="009D3E9E">
        <w:rPr>
          <w:rFonts w:asciiTheme="minorHAnsi" w:hAnsiTheme="minorHAnsi" w:cstheme="minorHAnsi"/>
          <w:sz w:val="22"/>
          <w:szCs w:val="22"/>
        </w:rPr>
        <w:t xml:space="preserve"> with faculty member</w:t>
      </w:r>
      <w:r>
        <w:rPr>
          <w:rFonts w:asciiTheme="minorHAnsi" w:hAnsiTheme="minorHAnsi" w:cstheme="minorHAnsi"/>
          <w:sz w:val="22"/>
          <w:szCs w:val="22"/>
        </w:rPr>
        <w:t>’s</w:t>
      </w:r>
      <w:r w:rsidR="002C6506" w:rsidRPr="009D3E9E">
        <w:rPr>
          <w:rFonts w:asciiTheme="minorHAnsi" w:hAnsiTheme="minorHAnsi" w:cstheme="minorHAnsi"/>
          <w:sz w:val="22"/>
          <w:szCs w:val="22"/>
        </w:rPr>
        <w:t xml:space="preserve"> specific department ID</w:t>
      </w:r>
      <w:r>
        <w:rPr>
          <w:rFonts w:asciiTheme="minorHAnsi" w:hAnsiTheme="minorHAnsi" w:cstheme="minorHAnsi"/>
          <w:sz w:val="22"/>
          <w:szCs w:val="22"/>
        </w:rPr>
        <w:t xml:space="preserve"> to retrieve funds via budget transfer and for all expenditures using these funds</w:t>
      </w:r>
    </w:p>
    <w:p w14:paraId="24F79C62" w14:textId="6BAD6F2E" w:rsidR="009D3E9E" w:rsidRPr="009D3E9E" w:rsidRDefault="002C6506" w:rsidP="00B926D5">
      <w:pPr>
        <w:pStyle w:val="ListParagraph"/>
        <w:numPr>
          <w:ilvl w:val="2"/>
          <w:numId w:val="1"/>
        </w:numPr>
        <w:spacing w:line="240" w:lineRule="auto"/>
        <w:ind w:left="1620"/>
        <w:rPr>
          <w:rFonts w:asciiTheme="minorHAnsi" w:hAnsiTheme="minorHAnsi" w:cstheme="minorHAnsi"/>
          <w:b/>
          <w:sz w:val="22"/>
          <w:szCs w:val="22"/>
        </w:rPr>
      </w:pPr>
      <w:r w:rsidRPr="009D3E9E">
        <w:rPr>
          <w:rFonts w:asciiTheme="minorHAnsi" w:hAnsiTheme="minorHAnsi" w:cstheme="minorHAnsi"/>
          <w:sz w:val="22"/>
          <w:szCs w:val="22"/>
        </w:rPr>
        <w:t>Payroll expenses</w:t>
      </w:r>
      <w:r w:rsidR="00FD51B9">
        <w:rPr>
          <w:rFonts w:asciiTheme="minorHAnsi" w:hAnsiTheme="minorHAnsi" w:cstheme="minorHAnsi"/>
          <w:sz w:val="22"/>
          <w:szCs w:val="22"/>
        </w:rPr>
        <w:t xml:space="preserve"> – CF1 should be included in the combo code for funding assigned to the employee categories below</w:t>
      </w:r>
    </w:p>
    <w:p w14:paraId="49353756" w14:textId="4F4F0343" w:rsidR="00B926D5" w:rsidRPr="00B926D5" w:rsidRDefault="002C6506" w:rsidP="00B926D5">
      <w:pPr>
        <w:pStyle w:val="ListParagraph"/>
        <w:numPr>
          <w:ilvl w:val="3"/>
          <w:numId w:val="1"/>
        </w:numPr>
        <w:spacing w:line="240" w:lineRule="auto"/>
        <w:ind w:left="2160"/>
        <w:rPr>
          <w:rFonts w:asciiTheme="minorHAnsi" w:hAnsiTheme="minorHAnsi" w:cstheme="minorHAnsi"/>
          <w:b/>
          <w:sz w:val="22"/>
          <w:szCs w:val="22"/>
        </w:rPr>
      </w:pPr>
      <w:r w:rsidRPr="009D3E9E">
        <w:rPr>
          <w:rFonts w:asciiTheme="minorHAnsi" w:hAnsiTheme="minorHAnsi" w:cstheme="minorHAnsi"/>
          <w:sz w:val="22"/>
          <w:szCs w:val="22"/>
        </w:rPr>
        <w:t>Post Docs</w:t>
      </w:r>
      <w:r w:rsidR="00FD51B9">
        <w:rPr>
          <w:rFonts w:asciiTheme="minorHAnsi" w:hAnsiTheme="minorHAnsi" w:cstheme="minorHAnsi"/>
          <w:sz w:val="22"/>
          <w:szCs w:val="22"/>
        </w:rPr>
        <w:t xml:space="preserve"> – 17PSTDOC</w:t>
      </w:r>
    </w:p>
    <w:p w14:paraId="7F2C1853" w14:textId="1369B632" w:rsidR="00B926D5" w:rsidRPr="00B926D5" w:rsidRDefault="002C6506" w:rsidP="00B926D5">
      <w:pPr>
        <w:pStyle w:val="ListParagraph"/>
        <w:numPr>
          <w:ilvl w:val="3"/>
          <w:numId w:val="1"/>
        </w:numPr>
        <w:spacing w:line="240" w:lineRule="auto"/>
        <w:ind w:left="2160"/>
        <w:rPr>
          <w:rFonts w:asciiTheme="minorHAnsi" w:hAnsiTheme="minorHAnsi" w:cstheme="minorHAnsi"/>
          <w:b/>
          <w:sz w:val="22"/>
          <w:szCs w:val="22"/>
        </w:rPr>
      </w:pPr>
      <w:r w:rsidRPr="00B926D5">
        <w:rPr>
          <w:rFonts w:asciiTheme="minorHAnsi" w:hAnsiTheme="minorHAnsi" w:cstheme="minorHAnsi"/>
          <w:sz w:val="22"/>
          <w:szCs w:val="22"/>
        </w:rPr>
        <w:t>Permanent part-time position</w:t>
      </w:r>
      <w:r w:rsidR="00B926D5">
        <w:rPr>
          <w:rFonts w:asciiTheme="minorHAnsi" w:hAnsiTheme="minorHAnsi" w:cstheme="minorHAnsi"/>
          <w:sz w:val="22"/>
          <w:szCs w:val="22"/>
        </w:rPr>
        <w:t>s</w:t>
      </w:r>
      <w:r w:rsidR="00FD51B9">
        <w:rPr>
          <w:rFonts w:asciiTheme="minorHAnsi" w:hAnsiTheme="minorHAnsi" w:cstheme="minorHAnsi"/>
          <w:sz w:val="22"/>
          <w:szCs w:val="22"/>
        </w:rPr>
        <w:t xml:space="preserve"> – 17PRMNTPT</w:t>
      </w:r>
    </w:p>
    <w:p w14:paraId="62CDB7ED" w14:textId="67B37BE1" w:rsidR="009D3E9E" w:rsidRPr="00B926D5" w:rsidRDefault="002C6506" w:rsidP="00B926D5">
      <w:pPr>
        <w:pStyle w:val="ListParagraph"/>
        <w:numPr>
          <w:ilvl w:val="3"/>
          <w:numId w:val="1"/>
        </w:numPr>
        <w:spacing w:line="240" w:lineRule="auto"/>
        <w:ind w:left="2160"/>
        <w:rPr>
          <w:rFonts w:asciiTheme="minorHAnsi" w:hAnsiTheme="minorHAnsi" w:cstheme="minorHAnsi"/>
          <w:b/>
          <w:sz w:val="22"/>
          <w:szCs w:val="22"/>
        </w:rPr>
      </w:pPr>
      <w:r w:rsidRPr="00B926D5">
        <w:rPr>
          <w:rFonts w:asciiTheme="minorHAnsi" w:hAnsiTheme="minorHAnsi" w:cstheme="minorHAnsi"/>
          <w:sz w:val="22"/>
          <w:szCs w:val="22"/>
        </w:rPr>
        <w:t>Retire/rehires</w:t>
      </w:r>
      <w:r w:rsidR="00FD51B9">
        <w:rPr>
          <w:rFonts w:asciiTheme="minorHAnsi" w:hAnsiTheme="minorHAnsi" w:cstheme="minorHAnsi"/>
          <w:sz w:val="22"/>
          <w:szCs w:val="22"/>
        </w:rPr>
        <w:t xml:space="preserve"> – 17RETREH</w:t>
      </w:r>
    </w:p>
    <w:p w14:paraId="004BEBFF" w14:textId="25E47384" w:rsidR="00FD51B9" w:rsidRPr="00FD51B9" w:rsidRDefault="00B926D5" w:rsidP="00FD51B9">
      <w:pPr>
        <w:pStyle w:val="ListParagraph"/>
        <w:numPr>
          <w:ilvl w:val="1"/>
          <w:numId w:val="1"/>
        </w:numPr>
        <w:tabs>
          <w:tab w:val="left" w:pos="1620"/>
        </w:tabs>
        <w:spacing w:line="240" w:lineRule="auto"/>
        <w:ind w:left="1080" w:hanging="270"/>
        <w:rPr>
          <w:rFonts w:asciiTheme="minorHAnsi" w:hAnsiTheme="minorHAnsi"/>
          <w:b/>
          <w:bCs/>
          <w:sz w:val="22"/>
          <w:szCs w:val="22"/>
        </w:rPr>
      </w:pPr>
      <w:r w:rsidRPr="5ABDA7A0">
        <w:rPr>
          <w:rFonts w:asciiTheme="minorHAnsi" w:hAnsiTheme="minorHAnsi"/>
          <w:sz w:val="22"/>
          <w:szCs w:val="22"/>
        </w:rPr>
        <w:t xml:space="preserve">  </w:t>
      </w:r>
      <w:r w:rsidR="002C6506" w:rsidRPr="5ABDA7A0">
        <w:rPr>
          <w:rFonts w:asciiTheme="minorHAnsi" w:hAnsiTheme="minorHAnsi"/>
          <w:sz w:val="22"/>
          <w:szCs w:val="22"/>
        </w:rPr>
        <w:t>Maintenance &amp; Operating (M&amp;O) – Program Code</w:t>
      </w:r>
      <w:r w:rsidR="00F01F7F">
        <w:rPr>
          <w:rFonts w:asciiTheme="minorHAnsi" w:hAnsiTheme="minorHAnsi"/>
          <w:sz w:val="22"/>
          <w:szCs w:val="22"/>
        </w:rPr>
        <w:t>s</w:t>
      </w:r>
      <w:r w:rsidR="002C6506" w:rsidRPr="5ABDA7A0">
        <w:rPr>
          <w:rFonts w:asciiTheme="minorHAnsi" w:hAnsiTheme="minorHAnsi"/>
          <w:sz w:val="22"/>
          <w:szCs w:val="22"/>
        </w:rPr>
        <w:t xml:space="preserve"> 1</w:t>
      </w:r>
      <w:r w:rsidR="00F01F7F">
        <w:rPr>
          <w:rFonts w:asciiTheme="minorHAnsi" w:hAnsiTheme="minorHAnsi"/>
          <w:sz w:val="22"/>
          <w:szCs w:val="22"/>
        </w:rPr>
        <w:t>7XXX</w:t>
      </w:r>
    </w:p>
    <w:p w14:paraId="0CF2D1DF" w14:textId="25AEB4C5" w:rsidR="00F01F7F" w:rsidRPr="00F01F7F" w:rsidRDefault="3C0969BB" w:rsidP="00F01F7F">
      <w:pPr>
        <w:pStyle w:val="ListParagraph"/>
        <w:numPr>
          <w:ilvl w:val="2"/>
          <w:numId w:val="1"/>
        </w:numPr>
        <w:tabs>
          <w:tab w:val="left" w:pos="1620"/>
        </w:tabs>
        <w:spacing w:line="240" w:lineRule="auto"/>
        <w:ind w:left="1710" w:hanging="270"/>
        <w:rPr>
          <w:rFonts w:asciiTheme="minorHAnsi" w:hAnsiTheme="minorHAnsi"/>
          <w:b/>
          <w:bCs/>
          <w:sz w:val="22"/>
          <w:szCs w:val="22"/>
        </w:rPr>
      </w:pPr>
      <w:r w:rsidRPr="00FD51B9">
        <w:rPr>
          <w:rFonts w:asciiTheme="minorHAnsi" w:hAnsiTheme="minorHAnsi"/>
          <w:bCs/>
          <w:sz w:val="22"/>
          <w:szCs w:val="22"/>
        </w:rPr>
        <w:t>Please use</w:t>
      </w:r>
      <w:r w:rsidR="009045BE">
        <w:rPr>
          <w:rFonts w:asciiTheme="minorHAnsi" w:hAnsiTheme="minorHAnsi"/>
          <w:bCs/>
          <w:sz w:val="22"/>
          <w:szCs w:val="22"/>
        </w:rPr>
        <w:t xml:space="preserve"> program codes beginning with 17-</w:t>
      </w:r>
      <w:r w:rsidRPr="00FD51B9">
        <w:rPr>
          <w:rFonts w:asciiTheme="minorHAnsi" w:hAnsiTheme="minorHAnsi"/>
          <w:bCs/>
          <w:sz w:val="22"/>
          <w:szCs w:val="22"/>
        </w:rPr>
        <w:t xml:space="preserve"> for all expenses related to Maintenance and Operating</w:t>
      </w:r>
    </w:p>
    <w:p w14:paraId="31901AC7" w14:textId="3A59A00A" w:rsidR="00691A8C" w:rsidRPr="00691A8C" w:rsidRDefault="00F01F7F" w:rsidP="00691A8C">
      <w:pPr>
        <w:pStyle w:val="ListParagraph"/>
        <w:numPr>
          <w:ilvl w:val="2"/>
          <w:numId w:val="1"/>
        </w:numPr>
        <w:tabs>
          <w:tab w:val="left" w:pos="1620"/>
        </w:tabs>
        <w:spacing w:line="240" w:lineRule="auto"/>
        <w:ind w:left="1710" w:hanging="270"/>
        <w:rPr>
          <w:rFonts w:asciiTheme="minorHAnsi" w:hAnsiTheme="minorHAnsi"/>
          <w:b/>
          <w:bCs/>
          <w:sz w:val="24"/>
          <w:szCs w:val="22"/>
        </w:rPr>
      </w:pPr>
      <w:r w:rsidRPr="00691A8C">
        <w:rPr>
          <w:rFonts w:asciiTheme="minorHAnsi" w:eastAsia="Times New Roman" w:hAnsiTheme="minorHAnsi" w:cstheme="minorHAnsi"/>
          <w:color w:val="0A0A0A"/>
          <w:sz w:val="22"/>
        </w:rPr>
        <w:t>17</w:t>
      </w:r>
      <w:r w:rsidR="00691A8C" w:rsidRPr="00691A8C">
        <w:rPr>
          <w:rFonts w:asciiTheme="minorHAnsi" w:eastAsia="Times New Roman" w:hAnsiTheme="minorHAnsi" w:cstheme="minorHAnsi"/>
          <w:color w:val="0A0A0A"/>
          <w:sz w:val="22"/>
        </w:rPr>
        <w:t>XXX</w:t>
      </w:r>
      <w:r w:rsidRPr="00691A8C">
        <w:rPr>
          <w:rFonts w:asciiTheme="minorHAnsi" w:eastAsia="Times New Roman" w:hAnsiTheme="minorHAnsi" w:cstheme="minorHAnsi"/>
          <w:color w:val="0A0A0A"/>
          <w:sz w:val="22"/>
        </w:rPr>
        <w:t xml:space="preserve"> PLANT OPERATIONS &amp; MAINTENANCE</w:t>
      </w:r>
    </w:p>
    <w:p w14:paraId="766D1969" w14:textId="4AA6DF79" w:rsidR="00691A8C" w:rsidRPr="00691A8C" w:rsidRDefault="00F01F7F" w:rsidP="00691A8C">
      <w:pPr>
        <w:pStyle w:val="ListParagraph"/>
        <w:numPr>
          <w:ilvl w:val="3"/>
          <w:numId w:val="1"/>
        </w:numPr>
        <w:tabs>
          <w:tab w:val="left" w:pos="1620"/>
        </w:tabs>
        <w:spacing w:line="240" w:lineRule="auto"/>
        <w:ind w:left="2250" w:hanging="450"/>
        <w:rPr>
          <w:rFonts w:asciiTheme="minorHAnsi" w:hAnsiTheme="minorHAnsi"/>
          <w:b/>
          <w:bCs/>
          <w:sz w:val="24"/>
          <w:szCs w:val="22"/>
        </w:rPr>
      </w:pPr>
      <w:r w:rsidRPr="00691A8C">
        <w:rPr>
          <w:rFonts w:asciiTheme="minorHAnsi" w:eastAsia="Times New Roman" w:hAnsiTheme="minorHAnsi" w:cstheme="minorHAnsi"/>
          <w:color w:val="0A0A0A"/>
          <w:sz w:val="22"/>
        </w:rPr>
        <w:t xml:space="preserve">This function shall include all expenditures of funds for the operation, maintenance, and procurement of assets of physical plant, in all cases net of the amount charged to auxiliary enterprises, hospitals, and independent </w:t>
      </w:r>
      <w:r w:rsidRPr="00691A8C">
        <w:rPr>
          <w:rFonts w:asciiTheme="minorHAnsi" w:eastAsia="Times New Roman" w:hAnsiTheme="minorHAnsi" w:cstheme="minorHAnsi"/>
          <w:color w:val="0A0A0A"/>
          <w:sz w:val="22"/>
        </w:rPr>
        <w:lastRenderedPageBreak/>
        <w:t>operations. It includes all expenditures for operations established to provide services and maintenance related to grounds and facilities including utilities, fire protection, property insurance, and similar items.</w:t>
      </w:r>
    </w:p>
    <w:p w14:paraId="6AFC5F88" w14:textId="514C47D8" w:rsidR="00F01F7F" w:rsidRPr="00691A8C" w:rsidRDefault="00F01F7F" w:rsidP="00691A8C">
      <w:pPr>
        <w:pStyle w:val="ListParagraph"/>
        <w:numPr>
          <w:ilvl w:val="3"/>
          <w:numId w:val="1"/>
        </w:numPr>
        <w:tabs>
          <w:tab w:val="left" w:pos="1620"/>
        </w:tabs>
        <w:spacing w:line="240" w:lineRule="auto"/>
        <w:ind w:left="2250" w:hanging="450"/>
        <w:rPr>
          <w:rFonts w:asciiTheme="minorHAnsi" w:hAnsiTheme="minorHAnsi"/>
          <w:b/>
          <w:bCs/>
          <w:sz w:val="24"/>
          <w:szCs w:val="22"/>
        </w:rPr>
      </w:pPr>
      <w:r w:rsidRPr="00691A8C">
        <w:rPr>
          <w:rFonts w:asciiTheme="minorHAnsi" w:eastAsia="Times New Roman" w:hAnsiTheme="minorHAnsi" w:cstheme="minorHAnsi"/>
          <w:color w:val="0A0A0A"/>
          <w:sz w:val="22"/>
        </w:rPr>
        <w:t>The sub-function codes are as follows:</w:t>
      </w:r>
    </w:p>
    <w:tbl>
      <w:tblPr>
        <w:tblW w:w="10069" w:type="dxa"/>
        <w:shd w:val="clear" w:color="auto" w:fill="FEFEFE"/>
        <w:tblCellMar>
          <w:top w:w="15" w:type="dxa"/>
          <w:left w:w="15" w:type="dxa"/>
          <w:bottom w:w="15" w:type="dxa"/>
          <w:right w:w="15" w:type="dxa"/>
        </w:tblCellMar>
        <w:tblLook w:val="04A0" w:firstRow="1" w:lastRow="0" w:firstColumn="1" w:lastColumn="0" w:noHBand="0" w:noVBand="1"/>
      </w:tblPr>
      <w:tblGrid>
        <w:gridCol w:w="630"/>
        <w:gridCol w:w="9439"/>
      </w:tblGrid>
      <w:tr w:rsidR="00F01F7F" w:rsidRPr="00F01F7F" w14:paraId="27FC6369" w14:textId="77777777" w:rsidTr="00691A8C">
        <w:trPr>
          <w:trHeight w:val="215"/>
          <w:tblHeader/>
        </w:trPr>
        <w:tc>
          <w:tcPr>
            <w:tcW w:w="630" w:type="dxa"/>
            <w:shd w:val="clear" w:color="auto" w:fill="F8F8F8"/>
            <w:vAlign w:val="center"/>
            <w:hideMark/>
          </w:tcPr>
          <w:p w14:paraId="6EE9E056" w14:textId="77777777" w:rsidR="00F01F7F" w:rsidRPr="00F01F7F" w:rsidRDefault="00F01F7F" w:rsidP="00F01F7F">
            <w:pPr>
              <w:spacing w:line="240" w:lineRule="auto"/>
              <w:rPr>
                <w:rFonts w:asciiTheme="minorHAnsi" w:eastAsia="Times New Roman" w:hAnsiTheme="minorHAnsi" w:cstheme="minorHAnsi"/>
                <w:b/>
                <w:bCs/>
                <w:color w:val="0A0A0A"/>
                <w:sz w:val="20"/>
                <w:szCs w:val="20"/>
              </w:rPr>
            </w:pPr>
            <w:r w:rsidRPr="00F01F7F">
              <w:rPr>
                <w:rFonts w:asciiTheme="minorHAnsi" w:eastAsia="Times New Roman" w:hAnsiTheme="minorHAnsi" w:cstheme="minorHAnsi"/>
                <w:b/>
                <w:bCs/>
                <w:color w:val="0A0A0A"/>
                <w:sz w:val="20"/>
                <w:szCs w:val="20"/>
              </w:rPr>
              <w:t>Code</w:t>
            </w:r>
          </w:p>
        </w:tc>
        <w:tc>
          <w:tcPr>
            <w:tcW w:w="9439" w:type="dxa"/>
            <w:shd w:val="clear" w:color="auto" w:fill="FEFEFE"/>
            <w:vAlign w:val="center"/>
            <w:hideMark/>
          </w:tcPr>
          <w:p w14:paraId="1D502DDE" w14:textId="77777777" w:rsidR="00F01F7F" w:rsidRPr="00F01F7F" w:rsidRDefault="00F01F7F" w:rsidP="00F01F7F">
            <w:pPr>
              <w:spacing w:line="240" w:lineRule="auto"/>
              <w:rPr>
                <w:rFonts w:asciiTheme="minorHAnsi" w:eastAsia="Times New Roman" w:hAnsiTheme="minorHAnsi" w:cstheme="minorHAnsi"/>
                <w:b/>
                <w:bCs/>
                <w:color w:val="0A0A0A"/>
                <w:sz w:val="20"/>
                <w:szCs w:val="20"/>
              </w:rPr>
            </w:pPr>
            <w:r w:rsidRPr="00F01F7F">
              <w:rPr>
                <w:rFonts w:asciiTheme="minorHAnsi" w:eastAsia="Times New Roman" w:hAnsiTheme="minorHAnsi" w:cstheme="minorHAnsi"/>
                <w:b/>
                <w:bCs/>
                <w:color w:val="0A0A0A"/>
                <w:sz w:val="20"/>
                <w:szCs w:val="20"/>
              </w:rPr>
              <w:t>Description</w:t>
            </w:r>
          </w:p>
        </w:tc>
      </w:tr>
      <w:tr w:rsidR="00F01F7F" w:rsidRPr="00F01F7F" w14:paraId="3F9842B3" w14:textId="77777777" w:rsidTr="00691A8C">
        <w:trPr>
          <w:trHeight w:val="458"/>
        </w:trPr>
        <w:tc>
          <w:tcPr>
            <w:tcW w:w="63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187E6ABE"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color w:val="0A0A0A"/>
                <w:sz w:val="20"/>
                <w:szCs w:val="20"/>
              </w:rPr>
              <w:t>17100</w:t>
            </w:r>
          </w:p>
        </w:tc>
        <w:tc>
          <w:tcPr>
            <w:tcW w:w="9439"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44D1CC52"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b/>
                <w:bCs/>
                <w:color w:val="0A0A0A"/>
                <w:sz w:val="20"/>
                <w:szCs w:val="20"/>
              </w:rPr>
              <w:t>Physical Plant Administration</w:t>
            </w:r>
            <w:r w:rsidRPr="00F01F7F">
              <w:rPr>
                <w:rFonts w:asciiTheme="minorHAnsi" w:eastAsia="Times New Roman" w:hAnsiTheme="minorHAnsi" w:cstheme="minorHAnsi"/>
                <w:color w:val="0A0A0A"/>
                <w:sz w:val="20"/>
                <w:szCs w:val="20"/>
              </w:rPr>
              <w:br/>
              <w:t>This sub-function includes expenses for administrative activities that directly support physical plant operations.</w:t>
            </w:r>
          </w:p>
        </w:tc>
      </w:tr>
      <w:tr w:rsidR="00F01F7F" w:rsidRPr="00F01F7F" w14:paraId="0AC81A10" w14:textId="77777777" w:rsidTr="00691A8C">
        <w:trPr>
          <w:trHeight w:val="449"/>
        </w:trPr>
        <w:tc>
          <w:tcPr>
            <w:tcW w:w="6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4F43AFDB"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color w:val="0A0A0A"/>
                <w:sz w:val="20"/>
                <w:szCs w:val="20"/>
              </w:rPr>
              <w:t>17200</w:t>
            </w:r>
          </w:p>
        </w:tc>
        <w:tc>
          <w:tcPr>
            <w:tcW w:w="9439"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72BE54CC"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b/>
                <w:bCs/>
                <w:color w:val="0A0A0A"/>
                <w:sz w:val="20"/>
                <w:szCs w:val="20"/>
              </w:rPr>
              <w:t>Building Maintenance</w:t>
            </w:r>
            <w:r w:rsidRPr="00F01F7F">
              <w:rPr>
                <w:rFonts w:asciiTheme="minorHAnsi" w:eastAsia="Times New Roman" w:hAnsiTheme="minorHAnsi" w:cstheme="minorHAnsi"/>
                <w:color w:val="0A0A0A"/>
                <w:sz w:val="20"/>
                <w:szCs w:val="20"/>
              </w:rPr>
              <w:br/>
              <w:t>This sub-function includes expenses for activities related to routine repair and maintenance of buildings.</w:t>
            </w:r>
          </w:p>
        </w:tc>
      </w:tr>
      <w:tr w:rsidR="00F01F7F" w:rsidRPr="00F01F7F" w14:paraId="14A23F32" w14:textId="77777777" w:rsidTr="00691A8C">
        <w:trPr>
          <w:trHeight w:val="224"/>
        </w:trPr>
        <w:tc>
          <w:tcPr>
            <w:tcW w:w="63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399C8658"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color w:val="0A0A0A"/>
                <w:sz w:val="20"/>
                <w:szCs w:val="20"/>
              </w:rPr>
              <w:t>17210</w:t>
            </w:r>
          </w:p>
        </w:tc>
        <w:tc>
          <w:tcPr>
            <w:tcW w:w="9439"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44DAB017"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b/>
                <w:bCs/>
                <w:color w:val="0A0A0A"/>
                <w:sz w:val="20"/>
                <w:szCs w:val="20"/>
              </w:rPr>
              <w:t>Federal Costing – (R1’s Only)</w:t>
            </w:r>
          </w:p>
        </w:tc>
      </w:tr>
      <w:tr w:rsidR="00F01F7F" w:rsidRPr="00F01F7F" w14:paraId="758200AF" w14:textId="77777777" w:rsidTr="00691A8C">
        <w:trPr>
          <w:trHeight w:val="449"/>
        </w:trPr>
        <w:tc>
          <w:tcPr>
            <w:tcW w:w="6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2F5F16AA"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color w:val="0A0A0A"/>
                <w:sz w:val="20"/>
                <w:szCs w:val="20"/>
              </w:rPr>
              <w:t>17300</w:t>
            </w:r>
          </w:p>
        </w:tc>
        <w:tc>
          <w:tcPr>
            <w:tcW w:w="9439"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6DF545C1"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b/>
                <w:bCs/>
                <w:color w:val="0A0A0A"/>
                <w:sz w:val="20"/>
                <w:szCs w:val="20"/>
              </w:rPr>
              <w:t>Custodial Services</w:t>
            </w:r>
            <w:r w:rsidRPr="00F01F7F">
              <w:rPr>
                <w:rFonts w:asciiTheme="minorHAnsi" w:eastAsia="Times New Roman" w:hAnsiTheme="minorHAnsi" w:cstheme="minorHAnsi"/>
                <w:color w:val="0A0A0A"/>
                <w:sz w:val="20"/>
                <w:szCs w:val="20"/>
              </w:rPr>
              <w:br/>
              <w:t>This sub-function includes expenses related to custodial services in buildings.</w:t>
            </w:r>
          </w:p>
        </w:tc>
      </w:tr>
      <w:tr w:rsidR="00F01F7F" w:rsidRPr="00F01F7F" w14:paraId="59CE6F2D" w14:textId="77777777" w:rsidTr="00691A8C">
        <w:trPr>
          <w:trHeight w:val="458"/>
        </w:trPr>
        <w:tc>
          <w:tcPr>
            <w:tcW w:w="63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17613848"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color w:val="0A0A0A"/>
                <w:sz w:val="20"/>
                <w:szCs w:val="20"/>
              </w:rPr>
              <w:t>17400</w:t>
            </w:r>
          </w:p>
        </w:tc>
        <w:tc>
          <w:tcPr>
            <w:tcW w:w="9439"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07B8DBA1"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b/>
                <w:bCs/>
                <w:color w:val="0A0A0A"/>
                <w:sz w:val="20"/>
                <w:szCs w:val="20"/>
              </w:rPr>
              <w:t>Utilities</w:t>
            </w:r>
            <w:r w:rsidRPr="00F01F7F">
              <w:rPr>
                <w:rFonts w:asciiTheme="minorHAnsi" w:eastAsia="Times New Roman" w:hAnsiTheme="minorHAnsi" w:cstheme="minorHAnsi"/>
                <w:color w:val="0A0A0A"/>
                <w:sz w:val="20"/>
                <w:szCs w:val="20"/>
              </w:rPr>
              <w:br/>
              <w:t>This sub-function includes expenses related to heating, cooling, light and power, gas, water, and any other utilities.</w:t>
            </w:r>
          </w:p>
        </w:tc>
      </w:tr>
      <w:tr w:rsidR="00F01F7F" w:rsidRPr="00F01F7F" w14:paraId="13B2337A" w14:textId="77777777" w:rsidTr="00691A8C">
        <w:trPr>
          <w:trHeight w:val="449"/>
        </w:trPr>
        <w:tc>
          <w:tcPr>
            <w:tcW w:w="6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5F8BFA52"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color w:val="0A0A0A"/>
                <w:sz w:val="20"/>
                <w:szCs w:val="20"/>
              </w:rPr>
              <w:t>17500</w:t>
            </w:r>
          </w:p>
        </w:tc>
        <w:tc>
          <w:tcPr>
            <w:tcW w:w="9439"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180F07FD"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b/>
                <w:bCs/>
                <w:color w:val="0A0A0A"/>
                <w:sz w:val="20"/>
                <w:szCs w:val="20"/>
              </w:rPr>
              <w:t>Landscape and Grounds Maintenance</w:t>
            </w:r>
            <w:r w:rsidRPr="00F01F7F">
              <w:rPr>
                <w:rFonts w:asciiTheme="minorHAnsi" w:eastAsia="Times New Roman" w:hAnsiTheme="minorHAnsi" w:cstheme="minorHAnsi"/>
                <w:color w:val="0A0A0A"/>
                <w:sz w:val="20"/>
                <w:szCs w:val="20"/>
              </w:rPr>
              <w:br/>
              <w:t>This sub-function includes expenses related to the operation and maintenance of landscape and grounds.</w:t>
            </w:r>
          </w:p>
        </w:tc>
      </w:tr>
      <w:tr w:rsidR="00F01F7F" w:rsidRPr="00F01F7F" w14:paraId="3DECBB8B" w14:textId="77777777" w:rsidTr="00691A8C">
        <w:trPr>
          <w:trHeight w:val="449"/>
        </w:trPr>
        <w:tc>
          <w:tcPr>
            <w:tcW w:w="63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366D9C7F"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color w:val="0A0A0A"/>
                <w:sz w:val="20"/>
                <w:szCs w:val="20"/>
              </w:rPr>
              <w:t>17600</w:t>
            </w:r>
          </w:p>
        </w:tc>
        <w:tc>
          <w:tcPr>
            <w:tcW w:w="9439"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2619916D"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b/>
                <w:bCs/>
                <w:color w:val="0A0A0A"/>
                <w:sz w:val="20"/>
                <w:szCs w:val="20"/>
              </w:rPr>
              <w:t>Plant Funds</w:t>
            </w:r>
            <w:r w:rsidRPr="00F01F7F">
              <w:rPr>
                <w:rFonts w:asciiTheme="minorHAnsi" w:eastAsia="Times New Roman" w:hAnsiTheme="minorHAnsi" w:cstheme="minorHAnsi"/>
                <w:color w:val="0A0A0A"/>
                <w:sz w:val="20"/>
                <w:szCs w:val="20"/>
              </w:rPr>
              <w:br/>
              <w:t>This sub-function shall include expenditures in the context of Plant Funds as indicated below:</w:t>
            </w:r>
          </w:p>
        </w:tc>
      </w:tr>
      <w:tr w:rsidR="00F01F7F" w:rsidRPr="00F01F7F" w14:paraId="607780C6" w14:textId="77777777" w:rsidTr="00691A8C">
        <w:trPr>
          <w:trHeight w:val="683"/>
        </w:trPr>
        <w:tc>
          <w:tcPr>
            <w:tcW w:w="6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3DE39F22"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color w:val="0A0A0A"/>
                <w:sz w:val="20"/>
                <w:szCs w:val="20"/>
              </w:rPr>
              <w:t>17610</w:t>
            </w:r>
          </w:p>
        </w:tc>
        <w:tc>
          <w:tcPr>
            <w:tcW w:w="9439"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605CBACF"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b/>
                <w:bCs/>
                <w:color w:val="0A0A0A"/>
                <w:sz w:val="20"/>
                <w:szCs w:val="20"/>
              </w:rPr>
              <w:t>Land</w:t>
            </w:r>
            <w:r w:rsidRPr="00F01F7F">
              <w:rPr>
                <w:rFonts w:asciiTheme="minorHAnsi" w:eastAsia="Times New Roman" w:hAnsiTheme="minorHAnsi" w:cstheme="minorHAnsi"/>
                <w:color w:val="0A0A0A"/>
                <w:sz w:val="20"/>
                <w:szCs w:val="20"/>
              </w:rPr>
              <w:br/>
              <w:t>This sub-function shall include those funds expended to purchase land, including incidental costs such as appraisal fees, title fees, legal fees, surveys, razing dilapidated structures, etc.</w:t>
            </w:r>
          </w:p>
        </w:tc>
      </w:tr>
      <w:tr w:rsidR="00F01F7F" w:rsidRPr="00F01F7F" w14:paraId="60AA0B60" w14:textId="77777777" w:rsidTr="00691A8C">
        <w:trPr>
          <w:trHeight w:val="449"/>
        </w:trPr>
        <w:tc>
          <w:tcPr>
            <w:tcW w:w="63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63940325"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color w:val="0A0A0A"/>
                <w:sz w:val="20"/>
                <w:szCs w:val="20"/>
              </w:rPr>
              <w:t>17620</w:t>
            </w:r>
          </w:p>
        </w:tc>
        <w:tc>
          <w:tcPr>
            <w:tcW w:w="9439"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40498CC4"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b/>
                <w:bCs/>
                <w:color w:val="0A0A0A"/>
                <w:sz w:val="20"/>
                <w:szCs w:val="20"/>
              </w:rPr>
              <w:t>Buildings</w:t>
            </w:r>
            <w:r w:rsidRPr="00F01F7F">
              <w:rPr>
                <w:rFonts w:asciiTheme="minorHAnsi" w:eastAsia="Times New Roman" w:hAnsiTheme="minorHAnsi" w:cstheme="minorHAnsi"/>
                <w:color w:val="0A0A0A"/>
                <w:sz w:val="20"/>
                <w:szCs w:val="20"/>
              </w:rPr>
              <w:br/>
              <w:t>This sub-function shall include those funds expended to purchase buildings, or to provide major additions and renovations.</w:t>
            </w:r>
          </w:p>
        </w:tc>
      </w:tr>
      <w:tr w:rsidR="00F01F7F" w:rsidRPr="00F01F7F" w14:paraId="4C8CD2A8" w14:textId="77777777" w:rsidTr="00691A8C">
        <w:trPr>
          <w:trHeight w:val="683"/>
        </w:trPr>
        <w:tc>
          <w:tcPr>
            <w:tcW w:w="6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76834959"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color w:val="0A0A0A"/>
                <w:sz w:val="20"/>
                <w:szCs w:val="20"/>
              </w:rPr>
              <w:t>17630</w:t>
            </w:r>
          </w:p>
        </w:tc>
        <w:tc>
          <w:tcPr>
            <w:tcW w:w="9439"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25A1D59E"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b/>
                <w:bCs/>
                <w:color w:val="0A0A0A"/>
                <w:sz w:val="20"/>
                <w:szCs w:val="20"/>
              </w:rPr>
              <w:t>Improvements – Non-Buildings</w:t>
            </w:r>
            <w:r w:rsidRPr="00F01F7F">
              <w:rPr>
                <w:rFonts w:asciiTheme="minorHAnsi" w:eastAsia="Times New Roman" w:hAnsiTheme="minorHAnsi" w:cstheme="minorHAnsi"/>
                <w:color w:val="0A0A0A"/>
                <w:sz w:val="20"/>
                <w:szCs w:val="20"/>
              </w:rPr>
              <w:br/>
              <w:t>This sub-function shall include those funds expended for various land improvements and for other campus installations not properly classified as buildings. Examples would be landscaping, walkways, roadways, parking lots, markers, utility installations, etc.</w:t>
            </w:r>
          </w:p>
        </w:tc>
      </w:tr>
      <w:tr w:rsidR="00F01F7F" w:rsidRPr="00F01F7F" w14:paraId="7ACA3264" w14:textId="77777777" w:rsidTr="00691A8C">
        <w:trPr>
          <w:trHeight w:val="683"/>
        </w:trPr>
        <w:tc>
          <w:tcPr>
            <w:tcW w:w="63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517A6314"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color w:val="0A0A0A"/>
                <w:sz w:val="20"/>
                <w:szCs w:val="20"/>
              </w:rPr>
              <w:t>17640</w:t>
            </w:r>
          </w:p>
        </w:tc>
        <w:tc>
          <w:tcPr>
            <w:tcW w:w="9439"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5F37CD41"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b/>
                <w:bCs/>
                <w:color w:val="0A0A0A"/>
                <w:sz w:val="20"/>
                <w:szCs w:val="20"/>
              </w:rPr>
              <w:t>Library Collections</w:t>
            </w:r>
            <w:r w:rsidRPr="00F01F7F">
              <w:rPr>
                <w:rFonts w:asciiTheme="minorHAnsi" w:eastAsia="Times New Roman" w:hAnsiTheme="minorHAnsi" w:cstheme="minorHAnsi"/>
                <w:color w:val="0A0A0A"/>
                <w:sz w:val="20"/>
                <w:szCs w:val="20"/>
              </w:rPr>
              <w:br/>
              <w:t>This sub-function shall include those funds expended to purchase books, periodicals, microfilm, micro cards, catalog cards, and other material making up the collection of resource material maintained in a library.</w:t>
            </w:r>
          </w:p>
        </w:tc>
      </w:tr>
      <w:tr w:rsidR="00F01F7F" w:rsidRPr="00F01F7F" w14:paraId="6EA2F996" w14:textId="77777777" w:rsidTr="00691A8C">
        <w:trPr>
          <w:trHeight w:val="683"/>
        </w:trPr>
        <w:tc>
          <w:tcPr>
            <w:tcW w:w="6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39FC293B"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color w:val="0A0A0A"/>
                <w:sz w:val="20"/>
                <w:szCs w:val="20"/>
              </w:rPr>
              <w:t>17650</w:t>
            </w:r>
          </w:p>
        </w:tc>
        <w:tc>
          <w:tcPr>
            <w:tcW w:w="9439"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19C67C80"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b/>
                <w:bCs/>
                <w:color w:val="0A0A0A"/>
                <w:sz w:val="20"/>
                <w:szCs w:val="20"/>
              </w:rPr>
              <w:t>Equipment</w:t>
            </w:r>
            <w:r w:rsidRPr="00F01F7F">
              <w:rPr>
                <w:rFonts w:asciiTheme="minorHAnsi" w:eastAsia="Times New Roman" w:hAnsiTheme="minorHAnsi" w:cstheme="minorHAnsi"/>
                <w:color w:val="0A0A0A"/>
                <w:sz w:val="20"/>
                <w:szCs w:val="20"/>
              </w:rPr>
              <w:br/>
              <w:t>This sub-function shall include expenditures for items of material value and of long enough life to be classified as equipment. See the definition of equipment in Section 2.9.4 on page 130.</w:t>
            </w:r>
          </w:p>
        </w:tc>
      </w:tr>
      <w:tr w:rsidR="00F01F7F" w:rsidRPr="00F01F7F" w14:paraId="258CA0DC" w14:textId="77777777" w:rsidTr="00691A8C">
        <w:trPr>
          <w:trHeight w:val="449"/>
        </w:trPr>
        <w:tc>
          <w:tcPr>
            <w:tcW w:w="63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7D4DED71"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color w:val="0A0A0A"/>
                <w:sz w:val="20"/>
                <w:szCs w:val="20"/>
              </w:rPr>
              <w:t>17660</w:t>
            </w:r>
          </w:p>
        </w:tc>
        <w:tc>
          <w:tcPr>
            <w:tcW w:w="9439"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319B154B"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b/>
                <w:bCs/>
                <w:color w:val="0A0A0A"/>
                <w:sz w:val="20"/>
                <w:szCs w:val="20"/>
              </w:rPr>
              <w:t>Construction Work in Progress</w:t>
            </w:r>
            <w:r w:rsidRPr="00F01F7F">
              <w:rPr>
                <w:rFonts w:asciiTheme="minorHAnsi" w:eastAsia="Times New Roman" w:hAnsiTheme="minorHAnsi" w:cstheme="minorHAnsi"/>
                <w:color w:val="0A0A0A"/>
                <w:sz w:val="20"/>
                <w:szCs w:val="20"/>
              </w:rPr>
              <w:br/>
              <w:t>This sub-function shall include expenditures for construction projects that will become a capitalizable asset(s) when completed.</w:t>
            </w:r>
          </w:p>
        </w:tc>
      </w:tr>
      <w:tr w:rsidR="00F01F7F" w:rsidRPr="00F01F7F" w14:paraId="4576E52C" w14:textId="77777777" w:rsidTr="00691A8C">
        <w:trPr>
          <w:trHeight w:val="683"/>
        </w:trPr>
        <w:tc>
          <w:tcPr>
            <w:tcW w:w="6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1F03DDC2"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color w:val="0A0A0A"/>
                <w:sz w:val="20"/>
                <w:szCs w:val="20"/>
              </w:rPr>
              <w:t>17670</w:t>
            </w:r>
          </w:p>
        </w:tc>
        <w:tc>
          <w:tcPr>
            <w:tcW w:w="9439"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725F1A0A" w14:textId="13CFF004"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b/>
                <w:bCs/>
                <w:color w:val="0A0A0A"/>
                <w:sz w:val="20"/>
                <w:szCs w:val="20"/>
              </w:rPr>
              <w:t>Expenditures - Non-Capitalized</w:t>
            </w:r>
            <w:r w:rsidRPr="00F01F7F">
              <w:rPr>
                <w:rFonts w:asciiTheme="minorHAnsi" w:eastAsia="Times New Roman" w:hAnsiTheme="minorHAnsi" w:cstheme="minorHAnsi"/>
                <w:color w:val="0A0A0A"/>
                <w:sz w:val="20"/>
                <w:szCs w:val="20"/>
              </w:rPr>
              <w:br/>
              <w:t>This sub-function shall include those expenditures that have been funded in the context of Plant Funds, but do not meet the definition of “capital expenditures.”</w:t>
            </w:r>
          </w:p>
        </w:tc>
      </w:tr>
      <w:tr w:rsidR="00F01F7F" w:rsidRPr="00F01F7F" w14:paraId="28FD0672" w14:textId="77777777" w:rsidTr="00691A8C">
        <w:trPr>
          <w:trHeight w:val="449"/>
        </w:trPr>
        <w:tc>
          <w:tcPr>
            <w:tcW w:w="630"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7D42A66B"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color w:val="0A0A0A"/>
                <w:sz w:val="20"/>
                <w:szCs w:val="20"/>
              </w:rPr>
              <w:t>17680</w:t>
            </w:r>
          </w:p>
        </w:tc>
        <w:tc>
          <w:tcPr>
            <w:tcW w:w="9439" w:type="dxa"/>
            <w:tcBorders>
              <w:top w:val="single" w:sz="6" w:space="0" w:color="E9E9E9"/>
              <w:left w:val="single" w:sz="6" w:space="0" w:color="E9E9E9"/>
              <w:bottom w:val="single" w:sz="6" w:space="0" w:color="E9E9E9"/>
              <w:right w:val="single" w:sz="6" w:space="0" w:color="E9E9E9"/>
            </w:tcBorders>
            <w:shd w:val="clear" w:color="auto" w:fill="FEFEFE"/>
            <w:vAlign w:val="center"/>
            <w:hideMark/>
          </w:tcPr>
          <w:p w14:paraId="00F7441F"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b/>
                <w:bCs/>
                <w:color w:val="0A0A0A"/>
                <w:sz w:val="20"/>
                <w:szCs w:val="20"/>
              </w:rPr>
              <w:t>Authority Lease Rentals</w:t>
            </w:r>
            <w:r w:rsidRPr="00F01F7F">
              <w:rPr>
                <w:rFonts w:asciiTheme="minorHAnsi" w:eastAsia="Times New Roman" w:hAnsiTheme="minorHAnsi" w:cstheme="minorHAnsi"/>
                <w:color w:val="0A0A0A"/>
                <w:sz w:val="20"/>
                <w:szCs w:val="20"/>
              </w:rPr>
              <w:br/>
              <w:t>This sub-function shall include funds expended in payment of Authority Lease Rentals.</w:t>
            </w:r>
          </w:p>
        </w:tc>
      </w:tr>
      <w:tr w:rsidR="00F01F7F" w:rsidRPr="00F01F7F" w14:paraId="1D880E69" w14:textId="77777777" w:rsidTr="00691A8C">
        <w:trPr>
          <w:trHeight w:val="458"/>
        </w:trPr>
        <w:tc>
          <w:tcPr>
            <w:tcW w:w="630"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0DED0B33"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color w:val="0A0A0A"/>
                <w:sz w:val="20"/>
                <w:szCs w:val="20"/>
              </w:rPr>
              <w:t>17800</w:t>
            </w:r>
          </w:p>
        </w:tc>
        <w:tc>
          <w:tcPr>
            <w:tcW w:w="9439" w:type="dxa"/>
            <w:tcBorders>
              <w:top w:val="single" w:sz="6" w:space="0" w:color="E9E9E9"/>
              <w:left w:val="single" w:sz="6" w:space="0" w:color="E9E9E9"/>
              <w:bottom w:val="single" w:sz="6" w:space="0" w:color="E9E9E9"/>
              <w:right w:val="single" w:sz="6" w:space="0" w:color="E9E9E9"/>
            </w:tcBorders>
            <w:shd w:val="clear" w:color="auto" w:fill="F1F1F1"/>
            <w:vAlign w:val="center"/>
            <w:hideMark/>
          </w:tcPr>
          <w:p w14:paraId="59D362F4" w14:textId="77777777" w:rsidR="00F01F7F" w:rsidRPr="00F01F7F" w:rsidRDefault="00F01F7F" w:rsidP="00F01F7F">
            <w:pPr>
              <w:spacing w:line="240" w:lineRule="auto"/>
              <w:rPr>
                <w:rFonts w:asciiTheme="minorHAnsi" w:eastAsia="Times New Roman" w:hAnsiTheme="minorHAnsi" w:cstheme="minorHAnsi"/>
                <w:color w:val="0A0A0A"/>
                <w:sz w:val="20"/>
                <w:szCs w:val="20"/>
              </w:rPr>
            </w:pPr>
            <w:r w:rsidRPr="00F01F7F">
              <w:rPr>
                <w:rFonts w:asciiTheme="minorHAnsi" w:eastAsia="Times New Roman" w:hAnsiTheme="minorHAnsi" w:cstheme="minorHAnsi"/>
                <w:b/>
                <w:bCs/>
                <w:color w:val="0A0A0A"/>
                <w:sz w:val="20"/>
                <w:szCs w:val="20"/>
              </w:rPr>
              <w:t>Safety and Security</w:t>
            </w:r>
            <w:r w:rsidRPr="00F01F7F">
              <w:rPr>
                <w:rFonts w:asciiTheme="minorHAnsi" w:eastAsia="Times New Roman" w:hAnsiTheme="minorHAnsi" w:cstheme="minorHAnsi"/>
                <w:color w:val="0A0A0A"/>
                <w:sz w:val="20"/>
                <w:szCs w:val="20"/>
              </w:rPr>
              <w:br/>
              <w:t>This sub-function shall include funds expended in payment of safety and security expenditures.</w:t>
            </w:r>
          </w:p>
        </w:tc>
      </w:tr>
    </w:tbl>
    <w:p w14:paraId="6677552C" w14:textId="77777777" w:rsidR="00F01F7F" w:rsidRPr="00F01F7F" w:rsidRDefault="00F01F7F" w:rsidP="00F01F7F">
      <w:pPr>
        <w:tabs>
          <w:tab w:val="left" w:pos="1620"/>
        </w:tabs>
        <w:spacing w:line="240" w:lineRule="auto"/>
        <w:rPr>
          <w:rFonts w:asciiTheme="minorHAnsi" w:hAnsiTheme="minorHAnsi"/>
          <w:b/>
          <w:bCs/>
          <w:sz w:val="22"/>
          <w:szCs w:val="22"/>
        </w:rPr>
      </w:pPr>
    </w:p>
    <w:p w14:paraId="02EB378F" w14:textId="77777777" w:rsidR="00E5019D" w:rsidRPr="00E5019D" w:rsidRDefault="00E5019D" w:rsidP="00E5019D">
      <w:pPr>
        <w:pStyle w:val="ListParagraph"/>
        <w:ind w:left="900"/>
        <w:rPr>
          <w:rFonts w:asciiTheme="minorHAnsi" w:hAnsiTheme="minorHAnsi" w:cstheme="minorHAnsi"/>
          <w:b/>
          <w:sz w:val="22"/>
          <w:szCs w:val="22"/>
        </w:rPr>
      </w:pPr>
    </w:p>
    <w:p w14:paraId="6A05A809" w14:textId="77777777" w:rsidR="00E5019D" w:rsidRPr="00E5019D" w:rsidRDefault="00E5019D" w:rsidP="00E5019D">
      <w:pPr>
        <w:pStyle w:val="ListParagraph"/>
        <w:ind w:left="2520"/>
        <w:rPr>
          <w:rFonts w:ascii="Cambria" w:hAnsi="Cambria"/>
          <w:b/>
          <w:sz w:val="22"/>
          <w:szCs w:val="22"/>
        </w:rPr>
      </w:pPr>
    </w:p>
    <w:p w14:paraId="5A39BBE3" w14:textId="77777777" w:rsidR="0084639E" w:rsidRDefault="0084639E"/>
    <w:sectPr w:rsidR="0084639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B940D" w14:textId="77777777" w:rsidR="00B926D5" w:rsidRDefault="00B926D5" w:rsidP="00B926D5">
      <w:pPr>
        <w:spacing w:line="240" w:lineRule="auto"/>
      </w:pPr>
      <w:r>
        <w:separator/>
      </w:r>
    </w:p>
  </w:endnote>
  <w:endnote w:type="continuationSeparator" w:id="0">
    <w:p w14:paraId="0E27B00A" w14:textId="77777777" w:rsidR="00B926D5" w:rsidRDefault="00B926D5" w:rsidP="00B92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77777777" w:rsidR="00B926D5" w:rsidRDefault="00B92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C669" w14:textId="77777777" w:rsidR="00B926D5" w:rsidRDefault="00B926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B926D5" w:rsidRDefault="00B92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AFD9C" w14:textId="77777777" w:rsidR="00B926D5" w:rsidRDefault="00B926D5" w:rsidP="00B926D5">
      <w:pPr>
        <w:spacing w:line="240" w:lineRule="auto"/>
      </w:pPr>
      <w:r>
        <w:separator/>
      </w:r>
    </w:p>
  </w:footnote>
  <w:footnote w:type="continuationSeparator" w:id="0">
    <w:p w14:paraId="4B94D5A5" w14:textId="77777777" w:rsidR="00B926D5" w:rsidRDefault="00B926D5" w:rsidP="00B926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77777777" w:rsidR="00B926D5" w:rsidRDefault="00B92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88288E1" w:rsidR="00B926D5" w:rsidRDefault="00B926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B926D5" w:rsidRDefault="00B92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0A5F"/>
    <w:multiLevelType w:val="hybridMultilevel"/>
    <w:tmpl w:val="FB324700"/>
    <w:lvl w:ilvl="0" w:tplc="04090013">
      <w:start w:val="1"/>
      <w:numFmt w:val="upperRoman"/>
      <w:lvlText w:val="%1."/>
      <w:lvlJc w:val="righ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20B9A"/>
    <w:multiLevelType w:val="hybridMultilevel"/>
    <w:tmpl w:val="4454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E74BA"/>
    <w:multiLevelType w:val="hybridMultilevel"/>
    <w:tmpl w:val="5162ADF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926983"/>
    <w:multiLevelType w:val="hybridMultilevel"/>
    <w:tmpl w:val="4728262E"/>
    <w:lvl w:ilvl="0" w:tplc="04090013">
      <w:start w:val="1"/>
      <w:numFmt w:val="upperRoman"/>
      <w:lvlText w:val="%1."/>
      <w:lvlJc w:val="righ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766576"/>
    <w:multiLevelType w:val="hybridMultilevel"/>
    <w:tmpl w:val="EDF2FB6C"/>
    <w:lvl w:ilvl="0" w:tplc="04090013">
      <w:start w:val="1"/>
      <w:numFmt w:val="upperRoman"/>
      <w:lvlText w:val="%1."/>
      <w:lvlJc w:val="right"/>
      <w:pPr>
        <w:ind w:left="1080" w:hanging="360"/>
      </w:pPr>
    </w:lvl>
    <w:lvl w:ilvl="1" w:tplc="720EEBF4">
      <w:start w:val="1"/>
      <w:numFmt w:val="lowerLetter"/>
      <w:lvlText w:val="%2."/>
      <w:lvlJc w:val="left"/>
      <w:pPr>
        <w:ind w:left="1800" w:hanging="360"/>
      </w:pPr>
      <w:rPr>
        <w:b w:val="0"/>
      </w:rPr>
    </w:lvl>
    <w:lvl w:ilvl="2" w:tplc="25F48056">
      <w:start w:val="1"/>
      <w:numFmt w:val="lowerRoman"/>
      <w:lvlText w:val="%3."/>
      <w:lvlJc w:val="right"/>
      <w:pPr>
        <w:ind w:left="2520" w:hanging="180"/>
      </w:pPr>
      <w:rPr>
        <w:b w:val="0"/>
      </w:rPr>
    </w:lvl>
    <w:lvl w:ilvl="3" w:tplc="E084B058">
      <w:start w:val="1"/>
      <w:numFmt w:val="decimal"/>
      <w:lvlText w:val="%4."/>
      <w:lvlJc w:val="left"/>
      <w:pPr>
        <w:ind w:left="3240" w:hanging="360"/>
      </w:pPr>
      <w:rPr>
        <w:b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332"/>
    <w:rsid w:val="00097FD0"/>
    <w:rsid w:val="00140D50"/>
    <w:rsid w:val="00254C43"/>
    <w:rsid w:val="00255C30"/>
    <w:rsid w:val="002C6506"/>
    <w:rsid w:val="002E1E21"/>
    <w:rsid w:val="003460E4"/>
    <w:rsid w:val="003A352D"/>
    <w:rsid w:val="003A4290"/>
    <w:rsid w:val="004F3332"/>
    <w:rsid w:val="00593D99"/>
    <w:rsid w:val="00691A8C"/>
    <w:rsid w:val="006B4CFC"/>
    <w:rsid w:val="00722564"/>
    <w:rsid w:val="0084639E"/>
    <w:rsid w:val="008653DE"/>
    <w:rsid w:val="008F567E"/>
    <w:rsid w:val="009045BE"/>
    <w:rsid w:val="009D3E9E"/>
    <w:rsid w:val="00AB096E"/>
    <w:rsid w:val="00B91124"/>
    <w:rsid w:val="00B91E12"/>
    <w:rsid w:val="00B926D5"/>
    <w:rsid w:val="00BD290E"/>
    <w:rsid w:val="00C148DD"/>
    <w:rsid w:val="00C67002"/>
    <w:rsid w:val="00C7404F"/>
    <w:rsid w:val="00D013F0"/>
    <w:rsid w:val="00D839C1"/>
    <w:rsid w:val="00E5019D"/>
    <w:rsid w:val="00E60610"/>
    <w:rsid w:val="00F01F7F"/>
    <w:rsid w:val="00F46143"/>
    <w:rsid w:val="00FD51B9"/>
    <w:rsid w:val="0280C957"/>
    <w:rsid w:val="030381EA"/>
    <w:rsid w:val="054E3001"/>
    <w:rsid w:val="0C94604F"/>
    <w:rsid w:val="0EA9158D"/>
    <w:rsid w:val="0F2DA696"/>
    <w:rsid w:val="11B383F0"/>
    <w:rsid w:val="12A6B177"/>
    <w:rsid w:val="1A2D55FF"/>
    <w:rsid w:val="1AA6EFAD"/>
    <w:rsid w:val="1AEB3A48"/>
    <w:rsid w:val="1B95F934"/>
    <w:rsid w:val="1BE07363"/>
    <w:rsid w:val="1C14E637"/>
    <w:rsid w:val="1CBCC156"/>
    <w:rsid w:val="203E4F50"/>
    <w:rsid w:val="2280A3C0"/>
    <w:rsid w:val="277896AB"/>
    <w:rsid w:val="2798801E"/>
    <w:rsid w:val="286A920E"/>
    <w:rsid w:val="291A8479"/>
    <w:rsid w:val="32F4CA89"/>
    <w:rsid w:val="3432577B"/>
    <w:rsid w:val="380EDE7D"/>
    <w:rsid w:val="3AF2E0CE"/>
    <w:rsid w:val="3C0969BB"/>
    <w:rsid w:val="41A5AA00"/>
    <w:rsid w:val="4213DCE5"/>
    <w:rsid w:val="42B88763"/>
    <w:rsid w:val="45A02AE7"/>
    <w:rsid w:val="47F16F18"/>
    <w:rsid w:val="4A02EF67"/>
    <w:rsid w:val="4AD0C33B"/>
    <w:rsid w:val="4B28BA6E"/>
    <w:rsid w:val="4BB718BE"/>
    <w:rsid w:val="4D6C915E"/>
    <w:rsid w:val="50930E77"/>
    <w:rsid w:val="543B5F18"/>
    <w:rsid w:val="58570235"/>
    <w:rsid w:val="5ABDA7A0"/>
    <w:rsid w:val="679BCB96"/>
    <w:rsid w:val="6BA15349"/>
    <w:rsid w:val="6E453587"/>
    <w:rsid w:val="6E7771B3"/>
    <w:rsid w:val="6FF8C543"/>
    <w:rsid w:val="72251033"/>
    <w:rsid w:val="72A688F3"/>
    <w:rsid w:val="7C923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F29D01"/>
  <w15:chartTrackingRefBased/>
  <w15:docId w15:val="{557F8A6D-DB86-49E5-9F8F-08BE306E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332"/>
    <w:pPr>
      <w:spacing w:after="0" w:line="336" w:lineRule="auto"/>
    </w:pPr>
    <w:rPr>
      <w:rFonts w:ascii="Georgia" w:hAnsi="Georgia"/>
      <w:sz w:val="18"/>
      <w:szCs w:val="24"/>
    </w:rPr>
  </w:style>
  <w:style w:type="paragraph" w:styleId="Heading4">
    <w:name w:val="heading 4"/>
    <w:basedOn w:val="Normal"/>
    <w:link w:val="Heading4Char"/>
    <w:uiPriority w:val="9"/>
    <w:qFormat/>
    <w:rsid w:val="00F01F7F"/>
    <w:pPr>
      <w:spacing w:before="100" w:beforeAutospacing="1" w:after="100" w:afterAutospacing="1" w:line="240" w:lineRule="auto"/>
      <w:outlineLvl w:val="3"/>
    </w:pPr>
    <w:rPr>
      <w:rFonts w:ascii="Times New Roman" w:eastAsia="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332"/>
    <w:pPr>
      <w:ind w:left="720"/>
      <w:contextualSpacing/>
    </w:pPr>
  </w:style>
  <w:style w:type="character" w:styleId="Hyperlink">
    <w:name w:val="Hyperlink"/>
    <w:basedOn w:val="DefaultParagraphFont"/>
    <w:uiPriority w:val="99"/>
    <w:unhideWhenUsed/>
    <w:rsid w:val="004F3332"/>
    <w:rPr>
      <w:color w:val="0563C1" w:themeColor="hyperlink"/>
      <w:u w:val="single"/>
    </w:rPr>
  </w:style>
  <w:style w:type="table" w:styleId="ListTable3-Accent3">
    <w:name w:val="List Table 3 Accent 3"/>
    <w:basedOn w:val="TableNormal"/>
    <w:uiPriority w:val="48"/>
    <w:rsid w:val="002E1E21"/>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
    <w:name w:val="Table Grid"/>
    <w:basedOn w:val="TableNormal"/>
    <w:uiPriority w:val="39"/>
    <w:rsid w:val="00E50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6D5"/>
    <w:pPr>
      <w:tabs>
        <w:tab w:val="center" w:pos="4680"/>
        <w:tab w:val="right" w:pos="9360"/>
      </w:tabs>
      <w:spacing w:line="240" w:lineRule="auto"/>
    </w:pPr>
  </w:style>
  <w:style w:type="character" w:customStyle="1" w:styleId="HeaderChar">
    <w:name w:val="Header Char"/>
    <w:basedOn w:val="DefaultParagraphFont"/>
    <w:link w:val="Header"/>
    <w:uiPriority w:val="99"/>
    <w:rsid w:val="00B926D5"/>
    <w:rPr>
      <w:rFonts w:ascii="Georgia" w:hAnsi="Georgia"/>
      <w:sz w:val="18"/>
      <w:szCs w:val="24"/>
    </w:rPr>
  </w:style>
  <w:style w:type="paragraph" w:styleId="Footer">
    <w:name w:val="footer"/>
    <w:basedOn w:val="Normal"/>
    <w:link w:val="FooterChar"/>
    <w:uiPriority w:val="99"/>
    <w:unhideWhenUsed/>
    <w:rsid w:val="00B926D5"/>
    <w:pPr>
      <w:tabs>
        <w:tab w:val="center" w:pos="4680"/>
        <w:tab w:val="right" w:pos="9360"/>
      </w:tabs>
      <w:spacing w:line="240" w:lineRule="auto"/>
    </w:pPr>
  </w:style>
  <w:style w:type="character" w:customStyle="1" w:styleId="FooterChar">
    <w:name w:val="Footer Char"/>
    <w:basedOn w:val="DefaultParagraphFont"/>
    <w:link w:val="Footer"/>
    <w:uiPriority w:val="99"/>
    <w:rsid w:val="00B926D5"/>
    <w:rPr>
      <w:rFonts w:ascii="Georgia" w:hAnsi="Georgia"/>
      <w:sz w:val="18"/>
      <w:szCs w:val="24"/>
    </w:rPr>
  </w:style>
  <w:style w:type="character" w:customStyle="1" w:styleId="Heading4Char">
    <w:name w:val="Heading 4 Char"/>
    <w:basedOn w:val="DefaultParagraphFont"/>
    <w:link w:val="Heading4"/>
    <w:uiPriority w:val="9"/>
    <w:rsid w:val="00F01F7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01F7F"/>
    <w:pPr>
      <w:spacing w:before="100" w:beforeAutospacing="1" w:after="100" w:afterAutospacing="1" w:line="240" w:lineRule="auto"/>
    </w:pPr>
    <w:rPr>
      <w:rFonts w:ascii="Times New Roman" w:eastAsia="Times New Roman" w:hAnsi="Times New Roman" w:cs="Times New Roman"/>
      <w:sz w:val="24"/>
    </w:rPr>
  </w:style>
  <w:style w:type="character" w:styleId="Strong">
    <w:name w:val="Strong"/>
    <w:basedOn w:val="DefaultParagraphFont"/>
    <w:uiPriority w:val="22"/>
    <w:qFormat/>
    <w:rsid w:val="00F01F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6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fin.uga.edu/accounts_payable/files/60_Day_Reimbursement_Recommendation.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1CDA2-7B76-431F-82C4-19E0BDF6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Barner</dc:creator>
  <cp:keywords/>
  <dc:description/>
  <cp:lastModifiedBy>Reychel Morgan Garren</cp:lastModifiedBy>
  <cp:revision>2</cp:revision>
  <cp:lastPrinted>2020-02-17T20:17:00Z</cp:lastPrinted>
  <dcterms:created xsi:type="dcterms:W3CDTF">2020-09-04T13:29:00Z</dcterms:created>
  <dcterms:modified xsi:type="dcterms:W3CDTF">2020-09-04T13:29:00Z</dcterms:modified>
</cp:coreProperties>
</file>